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EKrV 1 — Grunderwerbskosten</w:t>
      </w:r>
    </w:p>
    <w:p>
      <w:r>
        <w:rPr>
          <w:color w:val="555555"/>
          <w:sz w:val="18"/>
        </w:rPr>
        <w:t xml:space="preserve">1. Eisenbahnkreuzungsverordnung</w:t>
      </w:r>
    </w:p>
    <w:p>
      <w:r>
        <w:rPr>
          <w:color w:val="555555"/>
          <w:sz w:val="18"/>
        </w:rPr>
        <w:t xml:space="preserve">Stand: 01.07.2021 (konsolidierte Textfassung, kein amtliches Inkrafttretensdatum)</w:t>
      </w:r>
    </w:p>
    <w:p>
      <w:r>
        <w:t xml:space="preserve">(1) Zu den Grunderwerbskosten gehören</w:t>
      </w:r>
    </w:p>
    <w:p>
      <w:pPr>
        <w:ind w:left="420"/>
      </w:pPr>
      <w:r>
        <w:t xml:space="preserve">1. alle Aufwendungen im Zusammenhang mit dem Erwerb von Grundstücken oder Rechten,</w:t>
      </w:r>
    </w:p>
    <w:p>
      <w:pPr>
        <w:ind w:left="420"/>
      </w:pPr>
      <w:r>
        <w:t xml:space="preserve">2. Entschädigungen für die durch die Kreuzung bedingten Wertminderungen fremder Grundstücke.</w:t>
      </w:r>
    </w:p>
    <w:p>
      <w:r>
        <w:t xml:space="preserve">(2) Den Grunderwerbskosten zuzurechnen ist der Verkehrswert der schon im Eigentum der Beteiligten befindlichen Grundstücke oder ihrer Rechte, soweit sie nicht zum Verkehrsweg des nach § 4 des Gesetzes Duldungspflichtigen gehören.</w:t>
      </w:r>
    </w:p>
    <w:p>
      <w:r>
        <w:t xml:space="preserve">(3) (weggefallen)</w:t>
      </w:r>
    </w:p>
    <w:p>
      <w:r>
        <w:rPr>
          <w:color w:val="555555"/>
          <w:sz w:val="17"/>
        </w:rPr>
        <w:t xml:space="preserve">Zitiervorschlag: § 3 EKrV 1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https://recht.nulegal.eu/gesetze/EKrV%201/3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