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EKrV 1 — Zusammensetzung der Kostenmasse</w:t>
      </w:r>
    </w:p>
    <w:p>
      <w:r>
        <w:rPr>
          <w:color w:val="555555"/>
          <w:sz w:val="18"/>
        </w:rPr>
        <w:t xml:space="preserve">1. Eisenbahnkreuzungsverordnung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Kostenmasse setzt sich zusammen aus</w:t>
      </w:r>
    </w:p>
    <w:p>
      <w:pPr>
        <w:ind w:left="420"/>
      </w:pPr>
      <w:r>
        <w:t xml:space="preserve">1. Grunderwerbskosten,</w:t>
      </w:r>
    </w:p>
    <w:p>
      <w:pPr>
        <w:ind w:left="420"/>
      </w:pPr>
      <w:r>
        <w:t xml:space="preserve">2. Baukosten,</w:t>
      </w:r>
    </w:p>
    <w:p>
      <w:pPr>
        <w:ind w:left="420"/>
      </w:pPr>
      <w:r>
        <w:t xml:space="preserve">3. Verwaltungskosten.</w:t>
      </w:r>
    </w:p>
    <w:p>
      <w:r>
        <w:rPr>
          <w:color w:val="555555"/>
          <w:sz w:val="17"/>
        </w:rPr>
        <w:t xml:space="preserve">Zitiervorschlag: § 2 EKrV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https://recht.nulegal.eu/gesetze/EKrV%201/2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