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EKrV 1 — Umfang der Kostenmasse</w:t>
      </w:r>
    </w:p>
    <w:p>
      <w:r>
        <w:rPr>
          <w:color w:val="555555"/>
          <w:sz w:val="18"/>
        </w:rPr>
        <w:t xml:space="preserve">1. Eisenbahnkreuzungsverordnung</w:t>
      </w:r>
    </w:p>
    <w:p>
      <w:r>
        <w:rPr>
          <w:color w:val="555555"/>
          <w:sz w:val="18"/>
        </w:rPr>
        <w:t xml:space="preserve">Stand: 01.07.2021 (konsolidierte Textfassung, kein amtliches Inkrafttretensdatum)</w:t>
      </w:r>
    </w:p>
    <w:p>
      <w:r>
        <w:t xml:space="preserve">(1) Die Kostenmasse bei der Herstellung einer neuen Kreuzung (§ 2 des Gesetzes) oder bei Maßnahmen an bestehenden Kreuzungen (§ 3 des Gesetzes) umfaßt die Aufwendungen für alle Maßnahmen an den sich kreuzenden Verkehrswegen, die unter Berücksichtigung der anerkannten Regeln der Technik notwendig sind, damit die Kreuzung den Anforderungen der Sicherheit und der Abwicklung des Verkehrs genügt.</w:t>
      </w:r>
    </w:p>
    <w:p>
      <w:r>
        <w:t xml:space="preserve">(2) Zur Kostenmasse gehören auch die Aufwendungen für</w:t>
      </w:r>
    </w:p>
    <w:p>
      <w:pPr>
        <w:ind w:left="420"/>
      </w:pPr>
      <w:r>
        <w:t xml:space="preserve">1. diejenigen Maßnahmen, die zur Berücksichtigung der übersehbaren Verkehrsentwicklung auf den sich kreuzenden Verkehrswegen erforderlich sind,</w:t>
      </w:r>
    </w:p>
    <w:p>
      <w:pPr>
        <w:ind w:left="420"/>
      </w:pPr>
      <w:r>
        <w:t xml:space="preserve">2. diejenigen Maßnahmen, die infolge der Herstellung einer neuen Kreuzung oder einer Maßnahme nach § 3 des Gesetzes an Anlagen erforderlich werden, die nicht zu den sich kreuzenden Verkehrswegen der Beteiligten gehören,</w:t>
      </w:r>
    </w:p>
    <w:p>
      <w:pPr>
        <w:ind w:left="420"/>
      </w:pPr>
      <w:r>
        <w:t xml:space="preserve">3. den Ersatz von Schäden, die bei der Durchführung einer Maßnahme den Beteiligten oder Dritten entstanden sind, es sei denn, daß die Schäden auf Vorsatz oder grober Fahrlässigkeit eines Beteiligten oder seiner Bediensteten beruhen.</w:t>
      </w:r>
    </w:p>
    <w:p>
      <w:r>
        <w:t xml:space="preserve">(3) Wird eine Kreuzung durch Änderung der Linienführung des Verkehrswegs eines Beteiligten verlegt oder beseitigt, obwohl an der bisherigen Kreuzungsstelle eine Maßnahme nach § 3 des Gesetzes mit geringeren Kosten verkehrsgerecht möglich wäre, so ist die Kostenmasse auf die Höhe dieser Kosten beschränkt.</w:t>
      </w:r>
    </w:p>
    <w:p>
      <w:r>
        <w:t xml:space="preserve">(4) Von der Kostenmasse abzuziehen sind</w:t>
      </w:r>
    </w:p>
    <w:p>
      <w:pPr>
        <w:ind w:left="420"/>
      </w:pPr>
      <w:r>
        <w:t xml:space="preserve">1. der Erlös aus der Veräußerung der für die Kreuzung nicht benötigten oder nicht mehr benötigten Grundstücke oder der Verkehrswert dieser Grundstücke und</w:t>
      </w:r>
    </w:p>
    <w:p>
      <w:pPr>
        <w:ind w:left="420"/>
      </w:pPr>
      <w:r>
        <w:t xml:space="preserve">2. der Erlös aus der Verwertung der nicht mehr benötigten Anlagen der Kreuzung oder der Wert dieser Anlagen.</w:t>
      </w:r>
    </w:p>
    <w:p>
      <w:r>
        <w:rPr>
          <w:color w:val="555555"/>
          <w:sz w:val="17"/>
        </w:rPr>
        <w:t xml:space="preserve">Zitiervorschlag: § 1 EKrV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https://recht.nulegal.eu/gesetze/EKrV%201/1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