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EKrG-AV (Brandenburg)</w:t>
      </w:r>
    </w:p>
    <w:p>
      <w:r>
        <w:rPr>
          <w:color w:val="555555"/>
          <w:sz w:val="18"/>
        </w:rPr>
        <w:t xml:space="preserve">Verordnung zur Ausführung des Eisenbahnkreuzungsgesetzes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im Sinne des § 5 Abs. 1 Satz</w:t>
      </w:r>
    </w:p>
    <w:p>
      <w:r>
        <w:t xml:space="preserve">3 des Eisenbahnkreuzungsgesetzes ist der Landesbetrieb Straßenwesen.</w:t>
      </w:r>
    </w:p>
    <w:p>
      <w:r>
        <w:rPr>
          <w:color w:val="555555"/>
          <w:sz w:val="17"/>
        </w:rPr>
        <w:t xml:space="preserve">Zitiervorschlag: § 2 EKrG-AV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https://recht.nulegal.eu/gesetze/EKrG-AV/2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