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EKrG-AV (Brandenburg)</w:t>
      </w:r>
    </w:p>
    <w:p>
      <w:r>
        <w:rPr>
          <w:color w:val="555555"/>
          <w:sz w:val="18"/>
        </w:rPr>
        <w:t xml:space="preserve">Verordnung zur Ausführung des Eisenbahnkreuzungsgesetzes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im Sinne des § 8 Abs. 1 und</w:t>
      </w:r>
    </w:p>
    <w:p>
      <w:r>
        <w:t xml:space="preserve">Abs. 2 des Eisenbahnkreuzungsgesetzes ist das Ministerium für</w:t>
      </w:r>
    </w:p>
    <w:p>
      <w:r>
        <w:t xml:space="preserve">Stadtentwicklung, Wohnen und Verkehr.</w:t>
      </w:r>
    </w:p>
    <w:p>
      <w:r>
        <w:rPr>
          <w:color w:val="555555"/>
          <w:sz w:val="17"/>
        </w:rPr>
        <w:t xml:space="preserve">Zitiervorschlag: § 1 EKrG-AV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https://recht.nulegal.eu/gesetze/EKrG-AV/1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