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EKFG — Wirtschaftsplan und Haushaltsrecht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22.07.2022 (konsolidierte Textfassung, kein amtliches Inkrafttretensdatum)</w:t>
      </w:r>
    </w:p>
    <w:p>
      <w:r>
        <w:t xml:space="preserve">Alle Einnahmen und Ausgaben des Sondervermögens werden in einem jährlichen Wirtschaftsplan veranschlagt. Der Wirtschaftsplan ist in Einnahmen und Ausgaben auszugleichen und wird mit dem Haushaltsgesetz festgestellt.</w:t>
      </w:r>
    </w:p>
    <w:p>
      <w:r>
        <w:rPr>
          <w:color w:val="555555"/>
          <w:sz w:val="17"/>
        </w:rPr>
        <w:t xml:space="preserve">Zitiervorschlag: § 6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