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EKFG — Rücklagen</w:t>
      </w:r>
    </w:p>
    <w:p>
      <w:r>
        <w:rPr>
          <w:color w:val="555555"/>
          <w:sz w:val="18"/>
        </w:rPr>
        <w:t xml:space="preserve">Klima- und Transformationsfondsgesetz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Sondervermögen kann zur Erfüllung des gesetzlichen Zwecks Rücklagen bilden.</w:t>
      </w:r>
    </w:p>
    <w:p>
      <w:r>
        <w:rPr>
          <w:color w:val="555555"/>
          <w:sz w:val="17"/>
        </w:rPr>
        <w:t xml:space="preserve">Zitiervorschlag: § 5 EKFG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