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EKFG — Einnahmen des Sondervermögens und Ermächtigungen</w:t>
      </w:r>
    </w:p>
    <w:p>
      <w:r>
        <w:rPr>
          <w:color w:val="555555"/>
          <w:sz w:val="18"/>
        </w:rPr>
        <w:t xml:space="preserve">Klima- und Transformationsfondsgesetz</w:t>
      </w:r>
    </w:p>
    <w:p>
      <w:r>
        <w:rPr>
          <w:color w:val="555555"/>
          <w:sz w:val="18"/>
        </w:rPr>
        <w:t xml:space="preserve">Stand: 03.10.2025 (konsolidierte Textfassung, kein amtliches Inkrafttretensdatum)</w:t>
      </w:r>
    </w:p>
    <w:p>
      <w:r>
        <w:t xml:space="preserve">(1) Dem Sondervermögen fließen folgende Einnahmen zu:</w:t>
      </w:r>
    </w:p>
    <w:p>
      <w:pPr>
        <w:ind w:left="420"/>
      </w:pPr>
      <w:r>
        <w:t xml:space="preserve">1. die Einnahmen aus der Versteigerung von Berechtigungen zur Emission von Treibhausgasen nach Maßgabe der im Treibhausgas-Emissionshandelsgesetz für die Versteigerung geltenden Regeln, soweit diese Einnahmen nicht zur Finanzierung der Deutschen Emissionshandelsstelle benötigt werden,</w:t>
      </w:r>
    </w:p>
    <w:p>
      <w:pPr>
        <w:ind w:left="420"/>
      </w:pPr>
      <w:r>
        <w:t xml:space="preserve">2. die Einnahmen aus einem nationalen Emissionshandelssystem zur CO2-Bepreisung, soweit diese nicht zur Finanzierung der Deutschen Emissionshandelsstelle benötigt werden,</w:t>
      </w:r>
    </w:p>
    <w:p>
      <w:pPr>
        <w:ind w:left="420"/>
      </w:pPr>
      <w:r>
        <w:t xml:space="preserve">3. Einnahmen aus der Auszahlung der bei der Kreditanstalt für Wiederaufbau treuhänderisch verwalteten Mittel für etwaige Ausfälle im Zusammenhang mit Förderprogrammen, die aus Mitteln des Sondervermögens finanziert werden,</w:t>
      </w:r>
    </w:p>
    <w:p>
      <w:pPr>
        <w:ind w:left="420"/>
      </w:pPr>
      <w:r>
        <w:t xml:space="preserve">4. sonstige Einnahmen aus der Verzinsung von Mitteln des Sondervermögens und aus Rückflüssen aus den geförderten Maßnahmen,</w:t>
      </w:r>
    </w:p>
    <w:p>
      <w:pPr>
        <w:ind w:left="420"/>
      </w:pPr>
      <w:r>
        <w:t xml:space="preserve">5. Zuführungen aus dem Bundeshaushalt nach Maßgabe der Absätze 3 und 4 sowie</w:t>
      </w:r>
    </w:p>
    <w:p>
      <w:pPr>
        <w:ind w:left="420"/>
      </w:pPr>
      <w:r>
        <w:t xml:space="preserve">6. Zuführungen aus dem Sondervermögen nach Artikel 143h Absatz 1 Satz 5 des Grundgesetzes nach Maßgabe des Wirtschaftsplans dieses Sondervermögens.</w:t>
      </w:r>
    </w:p>
    <w:p>
      <w:r>
        <w:t xml:space="preserve">(2) Die Bundesregierung wird ermächtigt, durch Rechtsverordnung, die nicht der Zustimmung des Bundesrates bedarf, nähere Einzelheiten zu den Einnahmen nach Absatz 1 Nummer 1 und 2 zu regeln.</w:t>
      </w:r>
    </w:p>
    <w:p>
      <w:r>
        <w:t xml:space="preserve">(3) Der Bund kann dem Sondervermögen jährlich einen Bundeszuschuss nach Maßgabe des jeweiligen Haushaltsgesetzes gewähren.</w:t>
      </w:r>
    </w:p>
    <w:p>
      <w:r>
        <w:t xml:space="preserve">(4) Eine Kreditaufnahme des Sondervermögens am Kreditmarkt ist nicht zulässig. Das Sondervermögen kann zum Ausgleich eines Finanzierungsdefizits unter den Voraussetzungen des § 37 Absatz 1 der Bundeshaushaltsordnung ein verzinsliches, spätestens im übernächsten Jahr vollständig zurückzuzahlendes Liquiditätsdarlehen aus dem Bundeshaushalt bis zur Höhe von 10 Prozent des Gesamtvolumens des Wirtschaftsplans des laufenden Jahres erhalten. Die Summe aller Darlehensverbindlichkeiten darf zu keinem Zeitpunkt höher sein als 20 Prozent des Gesamtvolumens des Wirtschaftsplans des laufenden Jahres.</w:t>
      </w:r>
    </w:p>
    <w:p>
      <w:r>
        <w:rPr>
          <w:color w:val="555555"/>
          <w:sz w:val="17"/>
        </w:rPr>
        <w:t xml:space="preserve">Zitiervorschlag: § 4 EKFG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