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EKFG — Zweck des Sondervermögens</w:t>
      </w:r>
    </w:p>
    <w:p>
      <w:r>
        <w:rPr>
          <w:color w:val="555555"/>
          <w:sz w:val="18"/>
        </w:rPr>
        <w:t xml:space="preserve">Klima- und Transformationsfondsgesetz</w:t>
      </w:r>
    </w:p>
    <w:p>
      <w:r>
        <w:rPr>
          <w:color w:val="555555"/>
          <w:sz w:val="18"/>
        </w:rPr>
        <w:t xml:space="preserve">Stand: 03.10.2025 (konsolidierte Textfassung, kein amtliches Inkrafttretensdatum)</w:t>
      </w:r>
    </w:p>
    <w:p>
      <w:r>
        <w:t xml:space="preserve">(1) Das Sondervermögen ermöglicht zusätzliche Programmausgaben zur Förderung von Maßnahmen, die der Erreichung der Klimaschutzziele nach dem Bundes-Klimaschutzgesetz vom 12. Dezember 2019 (BGBl. I S. 2513) in der jeweils geltenden Fassung dienen. Förderfähig sind insbesondere Maßnahmen, die geeignet sind, die Transformation Deutschlands zu einer nachhaltigen und klimaneutralen Volkswirtschaft voranzutreiben. Außerdem förderfähig sind Maßnahmen zur Förderung der Mikroelektronik, zur Finanzierung der Schienenwege des Bundes, zum internationalen Klimaschutz sowie Maßnahmen des damit in Verbindung stehenden Umweltschutzes.</w:t>
      </w:r>
    </w:p>
    <w:p>
      <w:r>
        <w:t xml:space="preserve">(2) Aus dem Sondervermögen können auch</w:t>
      </w:r>
    </w:p>
    <w:p>
      <w:pPr>
        <w:ind w:left="420"/>
      </w:pPr>
      <w:r>
        <w:t xml:space="preserve">1. Zuschüsse an stromintensive Unternehmen gezahlt werden, um bei ihnen emissionshandelsbedingte Erhöhungen von Strompreisen auszugleichen auf der Grundlage des Artikels 10a Absatz 6 der Richtlinie 2003/87/EG des Europäischen Parlaments und des Rates vom 13. Oktober 2003 über ein System für den Handel mit Treibhausgasemissionszertifikaten in der Gemeinschaft und zur Änderung der Richtlinie 96/61/EG des Rates (ABl. L 275 vom 25.10.2003, S. 32), die zuletzt durch die Delegierte Verordnung (EU) 2021/1416 (ABl. L 305 vom 31.8.2021, S. 1) geändert worden ist,</w:t>
      </w:r>
    </w:p>
    <w:p>
      <w:pPr>
        <w:ind w:left="420"/>
      </w:pPr>
      <w:r>
        <w:t xml:space="preserve">2. Ausgleichszahlungen an Betreiber geleistet werden, die eines oder mehrere der von ihnen betriebenen Kohlekraftwerke stilllegen, oder</w:t>
      </w:r>
    </w:p>
    <w:p>
      <w:pPr>
        <w:ind w:left="420"/>
      </w:pPr>
      <w:r>
        <w:t xml:space="preserve">3. Ausgleichszahlungen geleistet werden, um beim Strompreis und beim Gaspreis zu entlasten.</w:t>
      </w:r>
    </w:p>
    <w:p>
      <w:r>
        <w:t xml:space="preserve">(3) Programmausgaben im Sinne des Absatzes 1 Satz 1 sind zusätzlich, wenn sie nicht bereits im Bundeshaushalt oder in der Finanzplanung des Bundes berücksichtigt sind.</w:t>
      </w:r>
    </w:p>
    <w:p>
      <w:r>
        <w:rPr>
          <w:color w:val="555555"/>
          <w:sz w:val="17"/>
        </w:rPr>
        <w:t xml:space="preserve">Zitiervorschlag: § 2 EKFG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