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EKFG — Errichtung des Sondervermögens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22.07.2022 (konsolidierte Textfassung, kein amtliches Inkrafttretensdatum)</w:t>
      </w:r>
    </w:p>
    <w:p>
      <w:r>
        <w:t xml:space="preserve">Es wird zum 1. Januar 2011 ein Sondervermögen des Bundes mit der Bezeichnung „Energie- und Klimafonds“ errichtet. Ab dem 22. Juli 2022 lautet die Bezeichnung dieses Sondervermögens „Klima- und Transformationsfonds“.</w:t>
      </w:r>
    </w:p>
    <w:p>
      <w:r>
        <w:rPr>
          <w:color w:val="555555"/>
          <w:sz w:val="17"/>
        </w:rPr>
        <w:t xml:space="preserve">Zitiervorschlag: § 1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