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EJTAnV</w:t>
      </w:r>
    </w:p>
    <w:p>
      <w:r>
        <w:rPr>
          <w:color w:val="555555"/>
          <w:sz w:val="18"/>
        </w:rPr>
        <w:t xml:space="preserve">Eurojust-Anlaufstellen-Verordnung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7 Abs. 1 des Eurojust-Gesetzes vom 12. Mai 2004 (BGBl. I S. 902) verordnet das Bundesministerium der Justiz:</w:t>
      </w:r>
    </w:p>
    <w:p>
      <w:r>
        <w:rPr>
          <w:color w:val="555555"/>
          <w:sz w:val="17"/>
        </w:rPr>
        <w:t xml:space="preserve">Zitiervorschlag: Eingangsformel EJTAnV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https://recht.nulegal.eu/gesetze/EJTAnV/eingangsformel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