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EJTAnV — Inkrafttreten, Außerkrafttreten</w:t>
      </w:r>
    </w:p>
    <w:p>
      <w:r>
        <w:rPr>
          <w:color w:val="555555"/>
          <w:sz w:val="18"/>
        </w:rPr>
        <w:t xml:space="preserve">Eurojust-Anlaufstellen-Verordnung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 nach der Verkündung in Kraft.</w:t>
      </w:r>
    </w:p>
    <w:p>
      <w:r>
        <w:rPr>
          <w:color w:val="555555"/>
          <w:sz w:val="17"/>
        </w:rPr>
        <w:t xml:space="preserve">Zitiervorschlag: § 7 EJTAnV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https://recht.nulegal.eu/gesetze/EJTAnV/7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