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EJTAnV — Befugnisse des Generalbundesanwalts in seiner Eigenschaft als nationale Anlaufstelle, Zweckbindung</w:t>
      </w:r>
    </w:p>
    <w:p>
      <w:r>
        <w:rPr>
          <w:color w:val="555555"/>
          <w:sz w:val="18"/>
        </w:rPr>
        <w:t xml:space="preserve">Eurojust-Anlaufstellen-Verordnung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Der Generalbundesanwalt führt die in den §§ 2 und 3 bezeichneten Informationen in der Datei nach § 2 Abs. 1 Satz 1 zu einheitlich strukturierten Datensätzen zusammen. Die Einzelheiten legt der Generalbundesanwalt im Einvernehmen mit den Landesjustizverwaltungen und dem nationalen Eurojust-Mitglied fest; dabei sind die durch das Kollegium von Eurojust gesetzten Vorgaben angemessen zu berücksichtigen.</w:t>
      </w:r>
    </w:p>
    <w:p>
      <w:r>
        <w:t xml:space="preserve">(2) Die Verarbeitung von Informationen gemäß § 2 Abs. 1 Satz 1, die Übermittlung von Informationen gemäß § 3 Abs. 1 Satz 1 sowie die Zusammenführung von Informationen gemäß Absatz 1 erfolgen, damit die Informationen an Eurojust nach Absatz 3 übermittelt werden.</w:t>
      </w:r>
    </w:p>
    <w:p>
      <w:r>
        <w:t xml:space="preserve">(3) Die Übermittlung von Informationen an Eurojust erfolgt nach Artikel 21a der Eurojust-Verordnung in der Fassung vom 4. Oktober 2023.</w:t>
      </w:r>
    </w:p>
    <w:p>
      <w:r>
        <w:rPr>
          <w:color w:val="555555"/>
          <w:sz w:val="17"/>
        </w:rPr>
        <w:t xml:space="preserve">Zitiervorschlag: § 4 EJTAnV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https://recht.nulegal.eu/gesetze/EJTAnV/4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