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EJTAnV — Übermittlung von Informationen durch die Staatsanwaltschaften der Länder und deren Prüfung</w:t>
      </w:r>
    </w:p>
    <w:p>
      <w:r>
        <w:rPr>
          <w:color w:val="555555"/>
          <w:sz w:val="18"/>
        </w:rPr>
        <w:t xml:space="preserve">Eurojust-Anlaufstellen-Verordnung</w:t>
      </w:r>
    </w:p>
    <w:p>
      <w:r>
        <w:rPr>
          <w:color w:val="555555"/>
          <w:sz w:val="18"/>
        </w:rPr>
        <w:t xml:space="preserve">Stand: 01.04.2026 (konsolidierte Textfassung, kein amtliches Inkrafttretensdatum)</w:t>
      </w:r>
    </w:p>
    <w:p>
      <w:r>
        <w:t xml:space="preserve">(1) Soweit die Informationen nach dem Kenntnisstand der Staatsanwaltschaften der Länder nicht bereits beim Generalbundesanwalt vorhanden sind, übermitteln sie nach eigener Sachprüfung dem Generalbundesanwalt die Informationen über terroristische Straftaten im Sinne von Artikel 21a Absatz 1 und 4 der Eurojust-Verordnung in der Fassung vom 4. Oktober 2023, die sie im Rahmen der Erfüllung ihrer nach dem Gerichtsverfassungsgesetz und der Strafprozessordnung zugewiesenen Aufgaben als Strafverfolgungsbehörden erhoben haben.</w:t>
      </w:r>
    </w:p>
    <w:p>
      <w:r>
        <w:t xml:space="preserve">(2) Der Generalbundesanwalt prüft unverzüglich, ob die nach Absatz 1 übermittelten Informationen den Anforderungen des Artikels 21a Absatz 1 und 4 der Eurojust-Verordnung in der Fassung vom 4. Oktober 2023 entsprechen. Soweit die Daten diesen Anforderungen entsprechen, speichert er sie in der Datei nach § 2 Abs. 1 Satz 1.</w:t>
      </w:r>
    </w:p>
    <w:p>
      <w:r>
        <w:rPr>
          <w:color w:val="555555"/>
          <w:sz w:val="17"/>
        </w:rPr>
        <w:t xml:space="preserve">Zitiervorschlag: § 3 EJTAnV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https://recht.nulegal.eu/gesetze/EJTAnV/3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