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EJTAnV — Nationale Anlaufstelle für Terrorismusfragen</w:t>
      </w:r>
    </w:p>
    <w:p>
      <w:r>
        <w:rPr>
          <w:color w:val="555555"/>
          <w:sz w:val="18"/>
        </w:rPr>
        <w:t xml:space="preserve">Eurojust-Anlaufstellen-Verordnung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Der Generalbundesanwalt beim Bundesgerichtshof ist nationale Eurojust-Anlaufstelle für Terrorismusfragen nach Artikel 20 Absatz 2a und 3 Buchstabe c der Verordnung (EU) 2018/1727 (Eurojust-Verordnung) in der Fassung vom 4. Oktober 2023 (nationale Anlaufstelle).</w:t>
      </w:r>
    </w:p>
    <w:p>
      <w:r>
        <w:rPr>
          <w:color w:val="555555"/>
          <w:sz w:val="17"/>
        </w:rPr>
        <w:t xml:space="preserve">Zitiervorschlag: § 1 EJTAnV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https://recht.nulegal.eu/gesetze/EJTAnV/1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