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EJKoV — Nationales Eurojust-Koordinierungssystem</w:t>
      </w:r>
    </w:p>
    <w:p>
      <w:r>
        <w:rPr>
          <w:color w:val="555555"/>
          <w:sz w:val="18"/>
        </w:rPr>
        <w:t xml:space="preserve">Eurojust-Koordinierungs-Verordnung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Zur Koordinierung der Zusammenarbeit zwischen</w:t>
      </w:r>
    </w:p>
    <w:p>
      <w:pPr>
        <w:ind w:left="420"/>
      </w:pPr>
      <w:r>
        <w:t xml:space="preserve">1. den Eurojust-Anlaufstellen,</w:t>
      </w:r>
    </w:p>
    <w:p>
      <w:pPr>
        <w:ind w:left="420"/>
      </w:pPr>
      <w:r>
        <w:t xml:space="preserve">2. den Eurojust-Kontaktstellen und</w:t>
      </w:r>
    </w:p>
    <w:p>
      <w:pPr>
        <w:ind w:left="420"/>
      </w:pPr>
      <w:r>
        <w:t xml:space="preserve">3. dem Generalbundesanwalt beim Bundesgerichtshof als nationaler Anlaufstelle im Sinne von § 1 der Eurojust-Anlaufstellen-Verordnung</w:t>
      </w:r>
    </w:p>
    <w:p>
      <w:r>
        <w:t xml:space="preserve">wird ein nationales Eurojust-Koordinierungssystem eingerichtet.</w:t>
      </w:r>
    </w:p>
    <w:p>
      <w:r>
        <w:t xml:space="preserve">(2) Die Eurojust-Anlaufstellen sind für die Organisation des Eurojust-Koordinierungssystems zuständig. Das Bundesamt für Justiz nimmt diese Aufgabe im Einvernehmen mit den übrigen Eurojust-Anlaufstellen wahr.</w:t>
      </w:r>
    </w:p>
    <w:p>
      <w:r>
        <w:t xml:space="preserve">(3) Neben der Wahrnehmung der in Artikel 20 Absatz 7 der Eurojust-Verordnung genannten Aufgaben unterstützt das nationale Eurojust-Koordinierungssystem das nationale Mitglied in sonstiger Weise bei der Erfüllung von dessen Aufgaben nach den Artikeln 2 und 4 der Eurojust-Verordnung.</w:t>
      </w:r>
    </w:p>
    <w:p>
      <w:r>
        <w:rPr>
          <w:color w:val="555555"/>
          <w:sz w:val="17"/>
        </w:rPr>
        <w:t xml:space="preserve">Zitiervorschlag: § 4 EJKoV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https://recht.nulegal.eu/gesetze/EJKoV/4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