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EJKoV — Eurojust-Anlaufstellen</w:t>
      </w:r>
    </w:p>
    <w:p>
      <w:r>
        <w:rPr>
          <w:color w:val="555555"/>
          <w:sz w:val="18"/>
        </w:rPr>
        <w:t xml:space="preserve">Eurojust-Koordinierungs-Verordnung</w:t>
      </w:r>
    </w:p>
    <w:p>
      <w:r>
        <w:rPr>
          <w:color w:val="555555"/>
          <w:sz w:val="18"/>
        </w:rPr>
        <w:t xml:space="preserve">Stand: 17.12.2019 (konsolidierte Textfassung, kein amtliches Inkrafttretensdatum)</w:t>
      </w:r>
    </w:p>
    <w:p>
      <w:r>
        <w:t xml:space="preserve">Das Bundesamt für Justiz, der Generalbundesanwalt beim Bundesgerichtshof und die von den Landesregierungen bestimmten Kontaktstellen nach § 12 Absatz 2 des Eurojust-Gesetzes sind zugleich Eurojust-Anlaufstellen nach Artikel 20 Absatz 1 der Verordnung (EU) 2018/1727 des Europäischen Parlaments und des Rates vom 14. November 2018 betreffend die Agentur der Europäischen Union für justizielle Zusammenarbeit in Strafsachen (Eurojust) und zur Ersetzung und Aufhebung des Beschlusses 2002/187/JI des Rates (ABl. L 295 vom 21.11.2018, S. 138 – Eurojust-Verordnung).</w:t>
      </w:r>
    </w:p>
    <w:p>
      <w:r>
        <w:rPr>
          <w:color w:val="555555"/>
          <w:sz w:val="17"/>
        </w:rPr>
        <w:t xml:space="preserve">Zitiervorschlag: § 2 EJKoV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https://recht.nulegal.eu/gesetze/EJKoV/2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