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EJKoV — Gegenstand der Verordnung</w:t>
      </w:r>
    </w:p>
    <w:p>
      <w:r>
        <w:rPr>
          <w:color w:val="555555"/>
          <w:sz w:val="18"/>
        </w:rPr>
        <w:t xml:space="preserve">Eurojust-Koordinierungs-Verordnung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Zusammenarbeit zwischen Eurojust-Anlaufstellen, Eurojust-Kontaktstellen und Eurojust.</w:t>
      </w:r>
    </w:p>
    <w:p>
      <w:r>
        <w:rPr>
          <w:color w:val="555555"/>
          <w:sz w:val="17"/>
        </w:rPr>
        <w:t xml:space="preserve">Zitiervorschlag: § 1 EJKoV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https://recht.nulegal.eu/gesetze/EJKoV/1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