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EJG 2019 — Anwendungsbereich</w:t>
      </w:r>
    </w:p>
    <w:p>
      <w:r>
        <w:rPr>
          <w:color w:val="555555"/>
          <w:sz w:val="18"/>
        </w:rPr>
        <w:t xml:space="preserve">Eurojust-Gesetz</w:t>
      </w:r>
    </w:p>
    <w:p>
      <w:r>
        <w:rPr>
          <w:color w:val="555555"/>
          <w:sz w:val="18"/>
        </w:rPr>
        <w:t xml:space="preserve">Stand: 01.04.2026 (konsolidierte Textfassung, kein amtliches Inkrafttretensdatum)</w:t>
      </w:r>
    </w:p>
    <w:p>
      <w:r>
        <w:t xml:space="preserve">Dieses Gesetz regelt die Durchführung der Verordnung (EU) 2018/1727 (Eurojust-Verordnung) in der Fassung vom 4. Oktober 2023.</w:t>
      </w:r>
    </w:p>
    <w:p>
      <w:r>
        <w:rPr>
          <w:color w:val="555555"/>
          <w:sz w:val="17"/>
        </w:rPr>
        <w:t xml:space="preserve">Zitiervorschlag: § 1 EJG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https://recht.nulegal.eu/gesetze/EJG%202019/1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