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EIGV — (zu § 27 Absatz 1 und 4) Gegenstand einer Genehmigung zum Inverkehrbringen und Verwenden von sicherungstechnischen oder elektrotechnischen Systemen und deren Bestandteilen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2018, 1308)</w:t>
      </w:r>
    </w:p>
    <w:p>
      <w:pPr>
        <w:ind w:left="420"/>
      </w:pPr>
      <w:r>
        <w:t xml:space="preserve">1. Gegenstand einer Genehmigung nach § 27 können sicherungstechnische oder elektrotechnische Systeme oder Bestandteile dieser Systeme sein, wenn</w:t>
      </w:r>
    </w:p>
    <w:p>
      <w:pPr>
        <w:ind w:left="420"/>
      </w:pPr>
      <w:r>
        <w:t xml:space="preserve">1.1 sie Änderungen am Regelwerk erzeugen,</w:t>
      </w:r>
    </w:p>
    <w:p>
      <w:pPr>
        <w:ind w:left="420"/>
      </w:pPr>
      <w:r>
        <w:t xml:space="preserve">1.2 an ihnen neue oder geänderte Technologien eingesetzt werden,</w:t>
      </w:r>
    </w:p>
    <w:p>
      <w:pPr>
        <w:ind w:left="420"/>
      </w:pPr>
      <w:r>
        <w:t xml:space="preserve">1.3 an ihnen Funktionen geändert werden,</w:t>
      </w:r>
    </w:p>
    <w:p>
      <w:pPr>
        <w:ind w:left="420"/>
      </w:pPr>
      <w:r>
        <w:t xml:space="preserve">1.4 sie erstmals eingesetzt werden oder</w:t>
      </w:r>
    </w:p>
    <w:p>
      <w:pPr>
        <w:ind w:left="420"/>
      </w:pPr>
      <w:r>
        <w:t xml:space="preserve">1.5 ihre bestehende Genehmigung fortgeschrieben wird.</w:t>
      </w:r>
    </w:p>
    <w:p>
      <w:pPr>
        <w:ind w:left="420"/>
      </w:pPr>
      <w:r>
        <w:t xml:space="preserve">2. Eine Genehmigung zum Inverkehrbringen und Verwenden wird nicht erteilt für Bestandteile von sicherungstechnischen oder elektrotechnischen Systemen,</w:t>
      </w:r>
    </w:p>
    <w:p>
      <w:pPr>
        <w:ind w:left="420"/>
      </w:pPr>
      <w:r>
        <w:t xml:space="preserve">2.1 die selbst keine Sicherheitsfunktionen ausführen und</w:t>
      </w:r>
    </w:p>
    <w:p>
      <w:pPr>
        <w:ind w:left="420"/>
      </w:pPr>
      <w:r>
        <w:t xml:space="preserve">2.2.1 die vom übergeordneten System überwacht werden oder</w:t>
      </w:r>
    </w:p>
    <w:p>
      <w:pPr>
        <w:ind w:left="420"/>
      </w:pPr>
      <w:r>
        <w:t xml:space="preserve">2.2.2 für die keine einschlägigen Normen und Regelwerke mit bahnspezifischen Anforderungen vorliegen.</w:t>
      </w:r>
    </w:p>
    <w:p>
      <w:r>
        <w:rPr>
          <w:color w:val="555555"/>
          <w:sz w:val="17"/>
        </w:rPr>
        <w:t xml:space="preserve">Zitiervorschlag: Anlage 7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EIGV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