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EIGV — Erfordernis der Genehmigung für das Inverkehrbringen oder der Inbetriebnahmegenehmigung</w:t>
      </w:r>
    </w:p>
    <w:p>
      <w:r>
        <w:rPr>
          <w:color w:val="555555"/>
          <w:sz w:val="18"/>
        </w:rPr>
        <w:t xml:space="preserve">Eisenbahn-Inbetriebnahmegenehmigungsverordnung</w:t>
      </w:r>
    </w:p>
    <w:p>
      <w:r>
        <w:rPr>
          <w:color w:val="555555"/>
          <w:sz w:val="18"/>
        </w:rPr>
        <w:t xml:space="preserve">Stand: 02.07.2020 (konsolidierte Textfassung, kein amtliches Inkrafttretensdatum)</w:t>
      </w:r>
    </w:p>
    <w:p>
      <w:r>
        <w:t xml:space="preserve">(1) Das erstmalige Inverkehrbringen eines Fahrzeugs bedarf einer Genehmigung für das Inverkehrbringen.</w:t>
      </w:r>
    </w:p>
    <w:p>
      <w:r>
        <w:t xml:space="preserve">(2) Die erstmalige Inbetriebnahme eines Teilsystems Infrastruktur, Energie, streckenseitige Zugsteuerung, Zugsicherung und Signalgebung sowie die erstmalige Inbetriebnahme der übrigen Eisenbahninfrastruktur bedarf einer Inbetriebnahmegenehmigung. Satz 1 gilt unbeschadet einer vorherigen Planfeststellung oder Plangenehmigung für das Vorhaben.</w:t>
      </w:r>
    </w:p>
    <w:p>
      <w:r>
        <w:t xml:space="preserve">(3) Das Inverkehrbringen eines aufgerüsteten oder erneuerten Fahrzeugs bedarf einer Genehmigung für das Inverkehrbringen, wenn eine in Anlage 4 genannte Maßnahme durchgeführt werden soll.</w:t>
      </w:r>
    </w:p>
    <w:p>
      <w:r>
        <w:t xml:space="preserve">(4) Einer Inbetriebnahmegenehmigung bedarf die Inbetriebnahme</w:t>
      </w:r>
    </w:p>
    <w:p>
      <w:pPr>
        <w:ind w:left="420"/>
      </w:pPr>
      <w:r>
        <w:t xml:space="preserve">1. eines aufgerüsteten oder erneuerten Teilsystems Infrastruktur, Energie, streckenseitige Zugsteuerung, Zugsicherung und Signalgebung sowie</w:t>
      </w:r>
    </w:p>
    <w:p>
      <w:pPr>
        <w:ind w:left="420"/>
      </w:pPr>
      <w:r>
        <w:t xml:space="preserve">2. einer aufgerüsteten oder erneuerten übrigen Eisenbahninfrastruktur,</w:t>
      </w:r>
    </w:p>
    <w:p>
      <w:r>
        <w:t xml:space="preserve">wenn eine in Anlage 4 genannte Maßnahme durchgeführt werden soll. Die in Anlage 5 genannten Maßnahmen gelten als Austausch im Zuge von Instandhaltungsarbeiten, für die es keiner Inbetriebnahmegenehmigung bedarf.</w:t>
      </w:r>
    </w:p>
    <w:p>
      <w:r>
        <w:rPr>
          <w:color w:val="555555"/>
          <w:sz w:val="17"/>
        </w:rPr>
        <w:t xml:space="preserve">Zitiervorschlag: § 9 EIGV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https://recht.nulegal.eu/gesetze/EIGV/9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