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EIGV — Notifizierung von technischen Vorschriften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Das Eisenbahn-Bundesamt erstellt für jede anzuwendende Technische Spezifikation für die Interoperabilität bei Bedarf nach Anhörung der betroffenen Wirtschaftskreise eine Liste der zu notifizierenden technischen Vorschriften.</w:t>
      </w:r>
    </w:p>
    <w:p>
      <w:r>
        <w:t xml:space="preserve">(2) Für strukturelle Teilsysteme sind nach Artikel 14 Absatz 1 der Richtlinie (EU) 2016/797 die Änderungen bereits notifizierter technischer Vorschriften zu notifizieren, die gelten</w:t>
      </w:r>
    </w:p>
    <w:p>
      <w:pPr>
        <w:ind w:left="420"/>
      </w:pPr>
      <w:r>
        <w:t xml:space="preserve">1. für einzelne technische Aspekte, die sich auf grundlegende Anforderungen beziehen und die nicht ausdrücklich in einer Technischen Spezifikation für die Interoperabilität behandelt werden, einschließlich der offenen Punkte,</w:t>
      </w:r>
    </w:p>
    <w:p>
      <w:pPr>
        <w:ind w:left="420"/>
      </w:pPr>
      <w:r>
        <w:t xml:space="preserve">2. für die in den einschlägigen Technischen Spezifikationen für die Interoperabilität eindeutig bezeichneten Sonderfälle,</w:t>
      </w:r>
    </w:p>
    <w:p>
      <w:pPr>
        <w:ind w:left="420"/>
      </w:pPr>
      <w:r>
        <w:t xml:space="preserve">3. zur Spezifizierung bestehender Systeme, mit denen lediglich die Bewertung der technischen Vereinbarkeit des Fahrzeugs mit dem Netz erfolgt.</w:t>
      </w:r>
    </w:p>
    <w:p>
      <w:r>
        <w:t xml:space="preserve">Es ist auch zu notifizieren, wenn die notifizierten Vorschriften nach Veröffentlichung oder Überarbeitung der entsprechenden Technischen Spezifikationen für die Interoperabilität überflüssig geworden sind.</w:t>
      </w:r>
    </w:p>
    <w:p>
      <w:r>
        <w:t xml:space="preserve">(3) Für Fahrzeuge sowie das Teilsystem fahrzeugseitige Zugsteuerung, Zugsicherung und Signalgebung sind außerdem die technischen Vorschriften zu notifizieren, die Grundlage der Prüfung der technischen Kompatibilität</w:t>
      </w:r>
    </w:p>
    <w:p>
      <w:pPr>
        <w:ind w:left="420"/>
      </w:pPr>
      <w:r>
        <w:t xml:space="preserve">1. der relevanten Teilsysteme des Fahrzeugs untereinander sind und</w:t>
      </w:r>
    </w:p>
    <w:p>
      <w:pPr>
        <w:ind w:left="420"/>
      </w:pPr>
      <w:r>
        <w:t xml:space="preserve">2. des Fahrzeugs mit dem betreffenden Netz sind.</w:t>
      </w:r>
    </w:p>
    <w:p>
      <w:r>
        <w:t xml:space="preserve">(4) Für strukturelle Teilsysteme können neue zu notifizierende technische Vorschriften nur erlassen werden,</w:t>
      </w:r>
    </w:p>
    <w:p>
      <w:pPr>
        <w:ind w:left="420"/>
      </w:pPr>
      <w:r>
        <w:t xml:space="preserve">1. wenn eine Technische Spezifikation für die Interoperabilität nicht in vollem Umfang den grundlegenden Anforderungen entspricht, oder</w:t>
      </w:r>
    </w:p>
    <w:p>
      <w:pPr>
        <w:ind w:left="420"/>
      </w:pPr>
      <w:r>
        <w:t xml:space="preserve">2. wenn sie als dringliche Präventionsmaßnahme erlassen werden, insbesondere nach einem Unfall.</w:t>
      </w:r>
    </w:p>
    <w:p>
      <w:r>
        <w:t xml:space="preserve">(5) Das Eisenbahn-Bundesamt übermittelt der Kommission und der Agentur nach Artikel 14 Absatz 5 der Richtlinie (EU) 2016/797 den Entwurf einer neuen technischen Vorschrift spätestens drei Monate vor der geplanten Veröffentlichung der neuen Vorschrift.</w:t>
      </w:r>
    </w:p>
    <w:p>
      <w:r>
        <w:t xml:space="preserve">(6) Werden für strukturelle Teilsysteme neue technische Vorschriften als dringliche Präventionsmaßnahmen erlassen, können die neuen nationalen Vorschriften unverzüglich angewendet werden. Das Eisenbahn-Bundesamt notifiziert die neue technische Vorschrift umgehend nach Erlass und begründet deren Dringlichkeit.</w:t>
      </w:r>
    </w:p>
    <w:p>
      <w:r>
        <w:t xml:space="preserve">(7) Das Eisenbahn-Bundesamt veröffentlicht die Listen der zu notifizierenden technischen Vorschriften. Es gilt der Stand der Übermittlung nach Absatz 5.</w:t>
      </w:r>
    </w:p>
    <w:p>
      <w:r>
        <w:rPr>
          <w:color w:val="555555"/>
          <w:sz w:val="17"/>
        </w:rPr>
        <w:t xml:space="preserve">Zitiervorschlag: § 7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