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5a EIGV — Ausnahmeverfahren betreffend die Anwendung der Technischen Spezifikationen für die Interoperabilität</w:t>
      </w:r>
    </w:p>
    <w:p>
      <w:r>
        <w:rPr>
          <w:color w:val="555555"/>
          <w:sz w:val="18"/>
        </w:rPr>
        <w:t xml:space="preserve">Eisenbahn-Inbetriebnahmegenehmigungsverordnung</w:t>
      </w:r>
    </w:p>
    <w:p>
      <w:r>
        <w:rPr>
          <w:color w:val="555555"/>
          <w:sz w:val="18"/>
        </w:rPr>
        <w:t xml:space="preserve">Stand: 02.07.2020 (konsolidierte Textfassung, kein amtliches Inkrafttretensdatum)</w:t>
      </w:r>
    </w:p>
    <w:p>
      <w:r>
        <w:t xml:space="preserve">(1) Der Antrag auf Zulassung von Ausnahmen von der vollständigen oder teilweisen Anwendung der Technischen Spezifikationen für die Interoperabilität ist beim Eisenbahn-Bundesamt zu stellen. Der Antrag ist schriftlich oder elektronisch zu stellen. Der Antragsteller muss dem Antrag die Unterlagen nach Anhang IX Buchstabe b der Richtlinie 2008/57/EG beifügen. Das Eisenbahn-Bundesamt kann verlangen, dass der Antrag in elektronischer Form und in einem bestimmten Dateiformat übermittelt wird.</w:t>
      </w:r>
    </w:p>
    <w:p>
      <w:r>
        <w:t xml:space="preserve">(2) Stellt das Eisenbahn-Bundesamt Mängel in dem Antrag fest, gibt es dem Antragsteller unter Angabe der Gründe Gelegenheit zur Beseitigung dieser Mängel.</w:t>
      </w:r>
    </w:p>
    <w:p>
      <w:r>
        <w:t xml:space="preserve">(3) Das Eisenbahn-Bundesamt unterrichtet die Kommission nach Maßgabe des Artikels 7 Absatz 3 oder 4 Satz 1 der Richtlinie (EU) 2016/797 über den Antrag. Es übermittelt der Kommission binnen eines Jahres nach Inkrafttreten einer jeden Technischen Spezifikation für die Interoperabilität eine Liste der Vorhaben nach § 5 Nummer 1 in fortgeschrittenem Entwicklungsstadium auf deutschem Gebiet.</w:t>
      </w:r>
    </w:p>
    <w:p>
      <w:r>
        <w:t xml:space="preserve">(4) In den in § 5 Nummer 2 und 3 genannten Fällen ergeht die Entscheidung, nachdem das in Artikel 7 Absatz 4 Satz 3 und 4 sowie Absatz 7 der Richtlinie (EU) 2016/797 genannte Verfahren durchgeführt worden ist.</w:t>
      </w:r>
    </w:p>
    <w:p>
      <w:r>
        <w:t xml:space="preserve">(5) Sofern das Eisenbahn-Bundesamt Ausnahmen von der Anwendbarkeit der Technischen Spezifikationen für die Interoperabilität nach § 5 Nummer 1, 2 und 3 zulässt, erstellt es ein Verzeichnis der stattdessen anzuwendenden Vorschriften und übermittelt dieses der Kommission.</w:t>
      </w:r>
    </w:p>
    <w:p>
      <w:r>
        <w:t xml:space="preserve">(6) Abweichend von Absatz 4 kann das Eisenbahn-Bundesamt zulassen, dass der Antragsteller vor Abschluss des dort genannten Verfahrens die stattdessen anzuwendenden Vorschriften anwendet.</w:t>
      </w:r>
    </w:p>
    <w:p>
      <w:r>
        <w:t xml:space="preserve">(7) Die Entscheidung des Eisenbahn-Bundesamtes über den Antrag ergeht schriftlich oder elektronisch.</w:t>
      </w:r>
    </w:p>
    <w:p>
      <w:r>
        <w:rPr>
          <w:color w:val="555555"/>
          <w:sz w:val="17"/>
        </w:rPr>
        <w:t xml:space="preserve">Zitiervorschlag: § 5a EIGV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https://recht.nulegal.eu/gesetze/EIGV/5a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