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EIGV — Befristung</w:t>
      </w:r>
    </w:p>
    <w:p>
      <w:r>
        <w:rPr>
          <w:color w:val="555555"/>
          <w:sz w:val="18"/>
        </w:rPr>
        <w:t xml:space="preserve">Eisenbahn-Inbetriebnahmegenehmigungsverordnung</w:t>
      </w:r>
    </w:p>
    <w:p>
      <w:r>
        <w:rPr>
          <w:color w:val="555555"/>
          <w:sz w:val="18"/>
        </w:rPr>
        <w:t xml:space="preserve">Stand: 02.07.2020 (konsolidierte Textfassung, kein amtliches Inkrafttretensdatum)</w:t>
      </w:r>
    </w:p>
    <w:p>
      <w:r>
        <w:t xml:space="preserve">§ 38 tritt am 16. Juni 2021 außer Kraft.</w:t>
      </w:r>
    </w:p>
    <w:p>
      <w:r>
        <w:rPr>
          <w:color w:val="555555"/>
          <w:sz w:val="17"/>
        </w:rPr>
        <w:t xml:space="preserve">Zitiervorschlag: § 43 EIGV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https://recht.nulegal.eu/gesetze/EIGV/43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