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EIGV — Europäisches Register genehmigter Fahrzeugtypen</w:t>
      </w:r>
    </w:p>
    <w:p>
      <w:r>
        <w:rPr>
          <w:color w:val="555555"/>
          <w:sz w:val="18"/>
        </w:rPr>
        <w:t xml:space="preserve">Eisenbahn-Inbetriebnahmegenehmigungsverordnung</w:t>
      </w:r>
    </w:p>
    <w:p>
      <w:r>
        <w:rPr>
          <w:color w:val="555555"/>
          <w:sz w:val="18"/>
        </w:rPr>
        <w:t xml:space="preserve">Stand: 02.07.2020 (konsolidierte Textfassung, kein amtliches Inkrafttretensdatum)</w:t>
      </w:r>
    </w:p>
    <w:p>
      <w:r>
        <w:t xml:space="preserve">(1) Die Genehmigungsstelle übermittelt die Angaben nach Anhang II des Durchführungsbeschlusses 2011/665/EU der Kommission vom 4. Oktober 2011 über das Europäische Register genehmigter Schienenfahrzeugtypen (ABl. L 264 vom 8.10.2011, S. 32), der durch die Durchführungsverordnung (EU) 2019/776 geändert worden ist, innerhalb von 20 Arbeitstagen nach Erteilung der Genehmigung eines Fahrzeugtyps an das Europäische Register genehmigter Fahrzeugtypen.</w:t>
      </w:r>
    </w:p>
    <w:p>
      <w:r>
        <w:t xml:space="preserve">(2) Der Antragsteller hat der Genehmigungsstelle mit dem Antrag auf Fahrzeugtypgenehmigung die folgenden Angaben zu übermitteln:</w:t>
      </w:r>
    </w:p>
    <w:p>
      <w:pPr>
        <w:ind w:left="420"/>
      </w:pPr>
      <w:r>
        <w:t xml:space="preserve">1. für die den Technischen Spezifikationen für die Interoperabilität entsprechenden Fahrzeuge: die in Anhang II des Beschlusses 2011/665/EU aufgeführten technischen Merkmale und</w:t>
      </w:r>
    </w:p>
    <w:p>
      <w:pPr>
        <w:ind w:left="420"/>
      </w:pPr>
      <w:r>
        <w:t xml:space="preserve">2. für die nicht den Technischen Spezifikationen für die Interoperabilität entsprechenden Fahrzeuge: die in Anhang II des Beschlusses 2011/665/EU aufgeführten technischen Merkmale, die bei der Genehmigung durch die benannten und bestimmten Stellen geprüft worden sind.</w:t>
      </w:r>
    </w:p>
    <w:p>
      <w:r>
        <w:t xml:space="preserve">Die Angaben gemäß Nummer 1 müssen den Angaben in den technischen Begleitunterlagen zur Baumusterprüfbescheinigung entsprechen. Die Angaben gemäß Nummer 2 müssen den Angaben in den technischen Begleitunterlagen der Prüfbescheinigungen entsprechen.</w:t>
      </w:r>
    </w:p>
    <w:p>
      <w:r>
        <w:t xml:space="preserve">(3) Die Genehmigungsstelle setzt das Europäische Register genehmigter Fahrzeugtypen innerhalb von 20 Arbeitstagen von einer Änderung oder einer Reaktivierung einer bestehenden Genehmigung eines Fahrzeugtyps in Kenntnis.</w:t>
      </w:r>
    </w:p>
    <w:p>
      <w:r>
        <w:t xml:space="preserve">(4) Die Genehmigungsstelle setzt das Europäische Register genehmigter Fahrzeugtypen innerhalb von fünf Arbeitstagen von einer Aussetzung oder einem Entzug einer bestehenden Genehmigung eines Fahrzeugtyps in Kenntnis.</w:t>
      </w:r>
    </w:p>
    <w:p>
      <w:r>
        <w:t xml:space="preserve">(5) Die Absätze 1 bis 4 gelten für Versionen eines Fahrzeugtyps oder einer Fahrzeugtypvariante entsprechend.</w:t>
      </w:r>
    </w:p>
    <w:p>
      <w:r>
        <w:rPr>
          <w:color w:val="555555"/>
          <w:sz w:val="17"/>
        </w:rPr>
        <w:t xml:space="preserve">Zitiervorschlag: § 40 EIGV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https://recht.nulegal.eu/gesetze/EIGV/40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