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EIGV — Fahrzeugkennzeichnung</w:t>
      </w:r>
    </w:p>
    <w:p>
      <w:r>
        <w:rPr>
          <w:color w:val="555555"/>
          <w:sz w:val="18"/>
        </w:rPr>
        <w:t xml:space="preserve">Eisenbahn-Inbetriebnahmegenehmigungsverordnung</w:t>
      </w:r>
    </w:p>
    <w:p>
      <w:r>
        <w:rPr>
          <w:color w:val="555555"/>
          <w:sz w:val="18"/>
        </w:rPr>
        <w:t xml:space="preserve">Stand: 02.07.2020 (konsolidierte Textfassung, kein amtliches Inkrafttretensdatum)</w:t>
      </w:r>
    </w:p>
    <w:p>
      <w:r>
        <w:t xml:space="preserve">(1) Das Eisenbahn-Bundesamt weist jedem Fahrzeug mit Erteilung der Genehmigung für das Inverkehrbringen von Fahrzeugen eine europäische Fahrzeugnummer zu. Satz 1 gilt auch im Fall der Erteilung der Fahrzeugtypgenehmigung.</w:t>
      </w:r>
    </w:p>
    <w:p>
      <w:r>
        <w:t xml:space="preserve">(2) Der Halter von Eisenbahnfahrzeugen darf ein Fahrzeug erst dann verwenden, wenn</w:t>
      </w:r>
    </w:p>
    <w:p>
      <w:pPr>
        <w:ind w:left="420"/>
      </w:pPr>
      <w:r>
        <w:t xml:space="preserve">1. das Fahrzeug in ein Fahrzeugeinstellungsregister eingetragen und die europäische Fahrzeugnummer aktiviert worden ist und</w:t>
      </w:r>
    </w:p>
    <w:p>
      <w:pPr>
        <w:ind w:left="420"/>
      </w:pPr>
      <w:r>
        <w:t xml:space="preserve">2. die europäische Fahrzeugnummer am Fahrzeug angebracht worden ist</w:t>
      </w:r>
    </w:p>
    <w:p>
      <w:pPr>
        <w:ind w:left="780"/>
      </w:pPr>
      <w:r>
        <w:t xml:space="preserve">a) bis zum 15. Juni 2021 nach den Vorgaben der Anlage H des Beschlusses 2012/757/EU der Kommission vom 14. November 2012 über die technische Spezifikation für die Interoperabilität des Teilsystems „Verkehrsbetrieb und Verkehrssteuerung“ des Eisenbahnsystems in der Europäischen Union und zur Änderung der Entscheidung 2007/756/EG (ABl. L 345 vom 15.12.2012, S. 1; L 101 vom 4.4.2014, S. 15), der zuletzt durch die Verordnung (EU) 2015/995 (ABl. L 165 vom 30.6.2015, S. 1; L 98 vom 11.4.2017, S. 44) geändert worden ist,</w:t>
      </w:r>
    </w:p>
    <w:p>
      <w:pPr>
        <w:ind w:left="780"/>
      </w:pPr>
      <w:r>
        <w:t xml:space="preserve">b) ab dem 16. Juni 2021 nach den Vorgaben der Anlage H der Durchführungsverordnung (EU) 2019/773 der Kommission vom 16. Mai 2019 über die technische Spezifikation für die Interoperabilität des Teilsystems „Verkehrsbetrieb und Verkehrssteuerung“ des Eisenbahnsystems in der Europäischen Union und zur Aufhebung des Beschlusses 2012/757/EU (ABl. L 139 I vom 27.5.2019, S. 5) in der jeweils geltenden Fassung.</w:t>
      </w:r>
    </w:p>
    <w:p>
      <w:r>
        <w:rPr>
          <w:color w:val="555555"/>
          <w:sz w:val="17"/>
        </w:rPr>
        <w:t xml:space="preserve">Zitiervorschlag: § 39 EIGV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https://recht.nulegal.eu/gesetze/EIGV/39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