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EIGV — Europäisches Fahrzeugeinstellungsregister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Eisenbahn-Bundesamt hat in das europäische Fahrzeugeinstellungsregister die Angaben der Fahrzeuge, die in der Bundesrepublik Deutschland einzutragen sind nach Anhang II des Durchführungsbeschlusses (EU) 2018/1614 der Kommission vom 25. Oktober 2018 zur Festlegung der Spezifikationen für die Fahrzeugeinstellungsregister nach Artikel 47 der Richtlinie (EU) 2016/797 des Europäischen Parlaments und des Rates sowie zur Änderung und Aufhebung der Entscheidung 2007/756/EG der Kommission (ABl. L 268 vom 26.10.2018, S. 53) in der jeweils geltenden Fassung</w:t>
      </w:r>
    </w:p>
    <w:p>
      <w:pPr>
        <w:ind w:left="420"/>
      </w:pPr>
      <w:r>
        <w:t xml:space="preserve">1. einzutragen und</w:t>
      </w:r>
    </w:p>
    <w:p>
      <w:pPr>
        <w:ind w:left="420"/>
      </w:pPr>
      <w:r>
        <w:t xml:space="preserve">2. auf dem neuesten Stand zu halten.</w:t>
      </w:r>
    </w:p>
    <w:p>
      <w:r>
        <w:t xml:space="preserve">(2) Halter von Eisenbahnfahrzeugen haben die Einstellung eines neuen Fahrzeugs vor dem erstmaligen Inverkehrbringen in das europäische Fahrzeugeinstellungsregister auf elektronischem Weg beim Eisenbahn-Bundesamt zu beantragen. Sie haben Änderungen der Angaben, die in das Register einzustellen sind, auf elektronischem Weg mitzuteilen.</w:t>
      </w:r>
    </w:p>
    <w:p>
      <w:r>
        <w:t xml:space="preserve">(3) Zugriffsberechtigte nach Anhang II Nummer 3.3.2 des Durchführungsbeschlusses (EU) 2018/1614 erhalten auf Antrag Auskünfte zu den im europäischen Fahrzeugeinstellungsregister gespeicherten Angaben beim Eisenbahn-Bundesamt, wenn die Zugriffsberechtigten sich in der Bundesrepublik Deutschland befinden.</w:t>
      </w:r>
    </w:p>
    <w:p>
      <w:r>
        <w:rPr>
          <w:color w:val="555555"/>
          <w:sz w:val="17"/>
        </w:rPr>
        <w:t xml:space="preserve">Zitiervorschlag: § 38a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