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35c EIGV — Anerkennung der bestimmten Stellen</w:t>
      </w:r>
    </w:p>
    <w:p>
      <w:r>
        <w:rPr>
          <w:color w:val="555555"/>
          <w:sz w:val="18"/>
        </w:rPr>
        <w:t xml:space="preserve">Eisenbahn-Inbetriebnahmegenehmigungsverordnung</w:t>
      </w:r>
    </w:p>
    <w:p>
      <w:r>
        <w:rPr>
          <w:color w:val="555555"/>
          <w:sz w:val="18"/>
        </w:rPr>
        <w:t xml:space="preserve">Stand: 02.07.2020 (konsolidierte Textfassung, kein amtliches Inkrafttretensdatum)</w:t>
      </w:r>
    </w:p>
    <w:p>
      <w:r>
        <w:t xml:space="preserve">(1) Eine Stelle kann beim Eisenbahn-Bundesamt schriftlich oder elektronisch beantragen, als bestimmte Stelle tätig werden zu dürfen. Dem Antrag sind beizufügen:</w:t>
      </w:r>
    </w:p>
    <w:p>
      <w:pPr>
        <w:ind w:left="420"/>
      </w:pPr>
      <w:r>
        <w:t xml:space="preserve">1. eine Beschreibung der Konformitätsbewertungstätigkeiten sowie der strukturellen Teilsysteme, für die diese Stelle Kompetenz beansprucht, und</w:t>
      </w:r>
    </w:p>
    <w:p>
      <w:pPr>
        <w:ind w:left="420"/>
      </w:pPr>
      <w:r>
        <w:t xml:space="preserve">2. alle Unterlagen, die erforderlich sind, um überprüfen, anerkennen und regelmäßig überwachen zu können, ob sie die Voraussetzungen des § 35 Absatz 2 erfüllt.</w:t>
      </w:r>
    </w:p>
    <w:p>
      <w:r>
        <w:t xml:space="preserve">§ 35a Absatz 1 Satz 3 gilt entsprechend.</w:t>
      </w:r>
    </w:p>
    <w:p>
      <w:r>
        <w:t xml:space="preserve">(2) Die Anerkennung als bestimmte Stelle veröffentlicht das Eisenbahn-Bundesamt auf seiner Internetseite mit Name und Anschrift der bestimmten Stellen.</w:t>
      </w:r>
    </w:p>
    <w:p>
      <w:r>
        <w:t xml:space="preserve">(3) § 35a Absatz 2, 3, 5 bis 7 gilt entsprechend.</w:t>
      </w:r>
    </w:p>
    <w:p>
      <w:r>
        <w:rPr>
          <w:color w:val="555555"/>
          <w:sz w:val="17"/>
        </w:rPr>
        <w:t xml:space="preserve">Zitiervorschlag: § 35c EIGV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https://recht.nulegal.eu/gesetze/EIGV/35c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