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35a EIGV — Anerkennung der benannten Stellen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Eine Stelle kann beim Eisenbahn-Bundesamt schriftlich oder elektronisch beantragen, als benannte Stelle tätig werden zu dürfen. Dem Antrag sind beizufügen:</w:t>
      </w:r>
    </w:p>
    <w:p>
      <w:pPr>
        <w:ind w:left="420"/>
      </w:pPr>
      <w:r>
        <w:t xml:space="preserve">1. eine Beschreibung</w:t>
      </w:r>
    </w:p>
    <w:p>
      <w:pPr>
        <w:ind w:left="780"/>
      </w:pPr>
      <w:r>
        <w:t xml:space="preserve">a) der Konformitätsbewertungstätigkeiten,</w:t>
      </w:r>
    </w:p>
    <w:p>
      <w:pPr>
        <w:ind w:left="780"/>
      </w:pPr>
      <w:r>
        <w:t xml:space="preserve">b) der Konformitätsbewertungsverfahren und</w:t>
      </w:r>
    </w:p>
    <w:p>
      <w:pPr>
        <w:ind w:left="780"/>
      </w:pPr>
      <w:r>
        <w:t xml:space="preserve">c) der strukturellen Teilsysteme einschließlich der Interoperabilitätskomponenten,</w:t>
      </w:r>
    </w:p>
    <w:p>
      <w:pPr>
        <w:ind w:left="420"/>
      </w:pPr>
      <w:r>
        <w:t xml:space="preserve">für die sie Kompetenz beansprucht, und</w:t>
      </w:r>
    </w:p>
    <w:p>
      <w:pPr>
        <w:ind w:left="420"/>
      </w:pPr>
      <w:r>
        <w:t xml:space="preserve">2. alle Unterlagen, die erforderlich sind, um überprüfen, anerkennen und regelmäßig überwachen zu können, ob die Stelle die Voraussetzungen des § 35 Absatz 2 erfüllt.</w:t>
      </w:r>
    </w:p>
    <w:p>
      <w:r>
        <w:t xml:space="preserve">Das Eisenbahn-Bundesamt bestimmt die Form der Übermittlung.</w:t>
      </w:r>
    </w:p>
    <w:p>
      <w:r>
        <w:t xml:space="preserve">(2) Die beantragende Stelle kann eine von einer Akkreditierungsstelle erteilte Akkreditierungsurkunde vorlegen, um die Voraussetzungen nach § 35 Absatz 2 Nummer 1, 6, 7 und 8 nachzuweisen. Die fachliche Eignung des eingesetzten Personals nach § 35 Absatz 2 Nummer 2 und die Eignung der notwendigen Verfahren nach § 35 Absatz 2 Nummer 2 bis 5 ist auch bei Vorlage einer Akkreditierung gegenüber dem Eisenbahn-Bundesamt nachzuweisen.</w:t>
      </w:r>
    </w:p>
    <w:p>
      <w:r>
        <w:t xml:space="preserve">(3) Die Anerkennung wird durch schriftlichen oder elektronischen Bescheid erteilt. Aus dem Bescheid müssen sich Art, Umfang und Gültigkeitsdauer der Anerkennung ergeben.</w:t>
      </w:r>
    </w:p>
    <w:p>
      <w:r>
        <w:t xml:space="preserve">(4) Der Bescheid ist unter der aufschiebenden Bedingung zu erteilen, dass nach der Benennung innerhalb von zwei Monaten weder die Kommission noch die übrigen Mitgliedstaaten der Europäischen Union Einwände erhoben haben.</w:t>
      </w:r>
    </w:p>
    <w:p>
      <w:r>
        <w:t xml:space="preserve">(5) Die Anerkennung gilt längstens für fünf Jahre. Sie kann jeweils um längstens fünf Jahre verlängert werden.</w:t>
      </w:r>
    </w:p>
    <w:p>
      <w:r>
        <w:t xml:space="preserve">(6) Die Einzelheiten des Anerkennungsverfahrens legt das Eisenbahn-Bundesamt fest.</w:t>
      </w:r>
    </w:p>
    <w:p>
      <w:r>
        <w:t xml:space="preserve">(7) Anerkannte Stellen werden durch das Eisenbahn-Bundesamt regelmäßig überwacht.</w:t>
      </w:r>
    </w:p>
    <w:p>
      <w:r>
        <w:rPr>
          <w:color w:val="555555"/>
          <w:sz w:val="17"/>
        </w:rPr>
        <w:t xml:space="preserve">Zitiervorschlag: § 35a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https://recht.nulegal.eu/gesetze/EIGV/35a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