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EIGV — Anerkennungsvoraussetzungen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Wer als benannte Stelle oder bestimmte Stelle tätig werden will, bedarf der Anerkennung durch das Eisenbahn-Bundesamt.</w:t>
      </w:r>
    </w:p>
    <w:p>
      <w:r>
        <w:t xml:space="preserve">(2) Das Eisenbahn-Bundesamt erteilt die Anerkennung, wenn die Konformitätsbewertungsstelle:</w:t>
      </w:r>
    </w:p>
    <w:p>
      <w:pPr>
        <w:ind w:left="420"/>
      </w:pPr>
      <w:r>
        <w:t xml:space="preserve">1. Rechtspersönlichkeit besitzt,</w:t>
      </w:r>
    </w:p>
    <w:p>
      <w:pPr>
        <w:ind w:left="420"/>
      </w:pPr>
      <w:r>
        <w:t xml:space="preserve">2. über die erforderliche Anzahl von Mitarbeitern mit Fachkenntnis und ausreichender einschlägiger Erfahrung nach Artikel 32 Absatz 1 der Richtlinie (EU) 2016/797 und im Fall einer bestimmten Stelle auch in Verbindung mit Artikel 45 Absatz 1 Buchstabe a der Richtlinie (EU) 2016/797 verfügt, um die bei der Konformitätsbewertung anfallenden Aufgaben zu erfüllen,</w:t>
      </w:r>
    </w:p>
    <w:p>
      <w:pPr>
        <w:ind w:left="420"/>
      </w:pPr>
      <w:r>
        <w:t xml:space="preserve">3. über die maßgeblichen Beschreibungen von Verfahren verfügt, nach denen die Konformitätsbewertung durchgeführt wird, um die Transparenz und die Möglichkeit der Anwendung dieser Verfahren sicherzustellen,</w:t>
      </w:r>
    </w:p>
    <w:p>
      <w:pPr>
        <w:ind w:left="420"/>
      </w:pPr>
      <w:r>
        <w:t xml:space="preserve">4. über angemessene Grundsätze und geeignete Verfahren verfügt, bei denen zwischen den Aufgaben, die sie als Konformitätsbewertungsstelle wahrnimmt, und anderen Tätigkeiten unterschieden wird,</w:t>
      </w:r>
    </w:p>
    <w:p>
      <w:pPr>
        <w:ind w:left="420"/>
      </w:pPr>
      <w:r>
        <w:t xml:space="preserve">5. über geeignete Verfahren zur Durchführung ihrer Tätigkeiten verfügt; die Verfahren berücksichtigen die Größe eines Unternehmens, die Branche, in der es tätig ist, seine Struktur sowie den Grad der Komplexität der jeweiligen Produkttechnologie und den Massenfertigungs- oder Seriencharakter des Herstellungsprozesses,</w:t>
      </w:r>
    </w:p>
    <w:p>
      <w:pPr>
        <w:ind w:left="420"/>
      </w:pPr>
      <w:r>
        <w:t xml:space="preserve">6. über die erforderlichen Mittel verfügt, um die technischen und administrativen Aufgaben in angemessener Weise zu erledigen, die mit der Konformitätsbewertung verbunden sind, und Zugang zu allen benötigten Ausrüstungen oder Einrichtungen hat,</w:t>
      </w:r>
    </w:p>
    <w:p>
      <w:pPr>
        <w:ind w:left="420"/>
      </w:pPr>
      <w:r>
        <w:t xml:space="preserve">7. eine Haftpflichtversicherung für Personen-, Sach- und Vermögensschäden abgeschlossen hat, die eine Mindestversicherungssumme in Höhe von 2,5 Millionen Euro für jeden Versicherungsfall sowie mindestens eine zweifache Deckung für das gesamte Jahr aufweisen muss, und</w:t>
      </w:r>
    </w:p>
    <w:p>
      <w:pPr>
        <w:ind w:left="420"/>
      </w:pPr>
      <w:r>
        <w:t xml:space="preserve">8. unparteilich nach Artikel 31 der Richtlinie (EU) 2016/797 ist.</w:t>
      </w:r>
    </w:p>
    <w:p>
      <w:r>
        <w:rPr>
          <w:color w:val="555555"/>
          <w:sz w:val="17"/>
        </w:rPr>
        <w:t xml:space="preserve">Zitiervorschlag: § 35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