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 EIGV — Aufbewahrungs-, Weitergabe- und Aufzeichnungspflichten</w:t>
      </w:r>
    </w:p>
    <w:p>
      <w:r>
        <w:rPr>
          <w:color w:val="555555"/>
          <w:sz w:val="18"/>
        </w:rPr>
        <w:t xml:space="preserve">Eisenbahn-Inbetriebnahmegenehmigungsverordnung</w:t>
      </w:r>
    </w:p>
    <w:p>
      <w:r>
        <w:rPr>
          <w:color w:val="555555"/>
          <w:sz w:val="18"/>
        </w:rPr>
        <w:t xml:space="preserve">Stand: 02.07.2020 (konsolidierte Textfassung, kein amtliches Inkrafttretensdatum)</w:t>
      </w:r>
    </w:p>
    <w:p>
      <w:r>
        <w:t xml:space="preserve">(1) Wer nach § 15 Absatz 6, § 16 Absatz 1 Satz 1, § 17, § 20 oder Artikel 46 Absatz 2 der Durchführungsverordnung (EU) 2018/545 eine Genehmigung erhalten hat, ist verpflichtet, die Genehmigung und die zur Erlangung der Genehmigung erforderlichen Nachweise so lange aufzubewahren, wie der genehmigte Bestandteil des Eisenbahnsystems dem Verwendungszweck dienen kann. Veräußert er den Bestandteil des Eisenbahnsystems, sind die Unterlagen nach Satz 1 spätestens bei dessen Übergabe mit auszuhändigen. Satz 1 gilt entsprechend für den Erwerber.</w:t>
      </w:r>
    </w:p>
    <w:p>
      <w:r>
        <w:t xml:space="preserve">(2) Wer Änderungsarbeiten an einem Bestandteil des Eisenbahnsystems oder einem Teil davon durchführt, die nicht genehmigungspflichtig sind, hat über die Änderungen Aufzeichnungen zu führen. Die Aufzeichnungen umfassen insbesondere Nachweise, dass die Änderungen die grundlegenden Anforderungen sowie die technische Kompatibilität und die sichere Integration erfüllen. Für die Aufzeichnungen gilt Absatz 1 entsprechend.</w:t>
      </w:r>
    </w:p>
    <w:p>
      <w:r>
        <w:rPr>
          <w:color w:val="555555"/>
          <w:sz w:val="17"/>
        </w:rPr>
        <w:t xml:space="preserve">Zitiervorschlag: § 32 EIGV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https://recht.nulegal.eu/gesetze/EIGV/32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