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EIGV — Weitere Unterrichtungspflichten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Stellen auf dem Gebiet der Bundesrepublik Deutschland</w:t>
      </w:r>
    </w:p>
    <w:p>
      <w:pPr>
        <w:ind w:left="420"/>
      </w:pPr>
      <w:r>
        <w:t xml:space="preserve">1. Eisenbahnen,</w:t>
      </w:r>
    </w:p>
    <w:p>
      <w:pPr>
        <w:ind w:left="420"/>
      </w:pPr>
      <w:r>
        <w:t xml:space="preserve">2. Halter von Eisenbahnfahrzeugen oder</w:t>
      </w:r>
    </w:p>
    <w:p>
      <w:pPr>
        <w:ind w:left="420"/>
      </w:pPr>
      <w:r>
        <w:t xml:space="preserve">3. Hersteller von Interoperabilitätskomponenten oder strukturellen Teilsystemen</w:t>
      </w:r>
    </w:p>
    <w:p>
      <w:r>
        <w:t xml:space="preserve">fest, dass eine benannte Stelle oder eine bestimmte Stelle den Anforderungen nach § 35 Absatz 2 nicht entspricht oder die mit der Betrauung verbundenen Pflichten nicht erfüllt, so haben sie das Eisenbahn-Bundesamt darüber zu unterrichten. Satz 1 gilt auch, wenn eine Bewertungsstelle den Anforderungen nach Anhang II der Durchführungsverordnung (EU) Nr. 402/2013 nicht entspricht oder die mit der Betrauung verbundenen Pflichten nicht erfüllt. Sofern eine benannte Stelle betroffen ist, teilt das Eisenbahn-Bundesamt den Fall der Kommission mit.</w:t>
      </w:r>
    </w:p>
    <w:p>
      <w:r>
        <w:rPr>
          <w:color w:val="555555"/>
          <w:sz w:val="17"/>
        </w:rPr>
        <w:t xml:space="preserve">Zitiervorschlag: § 31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