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EIGV — Prüfungen vor der Nutzung eines genehmigten Fahrzeugs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Bevor ein Eisenbahnverkehrsunternehmen ein Fahrzeug in dem Verwendungsgebiet einsetzt, das in der Genehmigung für das Inverkehrbringen angegeben ist, prüft es, ob</w:t>
      </w:r>
    </w:p>
    <w:p>
      <w:pPr>
        <w:ind w:left="420"/>
      </w:pPr>
      <w:r>
        <w:t xml:space="preserve">1. das Fahrzeug eine Genehmigung für das Inverkehrbringen hat und ordnungsgemäß registriert worden ist,</w:t>
      </w:r>
    </w:p>
    <w:p>
      <w:pPr>
        <w:ind w:left="420"/>
      </w:pPr>
      <w:r>
        <w:t xml:space="preserve">2. das Fahrzeug mit der Strecke kompatibel ist und</w:t>
      </w:r>
    </w:p>
    <w:p>
      <w:pPr>
        <w:ind w:left="420"/>
      </w:pPr>
      <w:r>
        <w:t xml:space="preserve">3. sich das Fahrzeug ordnungsgemäß in die Zusammensetzung des Zuges, als dessen Teil es betrieben werden soll, einfügt.</w:t>
      </w:r>
    </w:p>
    <w:p>
      <w:r>
        <w:rPr>
          <w:color w:val="555555"/>
          <w:sz w:val="17"/>
        </w:rPr>
        <w:t xml:space="preserve">Zitiervorschlag: § 29a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