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EIGV — Verwendung von Bauprodukten und Anwendung von Bauarten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Bauprodukte dürfen nur verwendet und Bauarten nur angewendet werden, wenn sie zuvor vom Eisenbahn-Bundesamt zugelassen worden sind.</w:t>
      </w:r>
    </w:p>
    <w:p>
      <w:r>
        <w:t xml:space="preserve">(2) Die Erteilung der Zulassung bedarf eines Antrags. Die Zulassung kann von Eisenbahnen oder Herstellern von Bauprodukten oder Bauarten beantragt werden.</w:t>
      </w:r>
    </w:p>
    <w:p>
      <w:r>
        <w:t xml:space="preserve">(3) Bauprodukte und Bauarten werden zugelassen, wenn die Anforderungen des § 2 Absatz 1 und 2 der Eisenbahn-Bau- und Betriebsordnung vom 8. Mai 1967 (BGBl. 1967 II S. 1563), die zuletzt durch Artikel 2 der Verordnung vom 26. Juli 2017 (BGBl. I S. 3054) geändert worden ist, in ihrer jeweils geltenden Fassung eingehalten werden.</w:t>
      </w:r>
    </w:p>
    <w:p>
      <w:r>
        <w:t xml:space="preserve">(4) Abweichend von Absatz 1 dürfen Bauprodukte ohne Zulassung verwendet werden, wenn sie</w:t>
      </w:r>
    </w:p>
    <w:p>
      <w:pPr>
        <w:ind w:left="420"/>
      </w:pPr>
      <w:r>
        <w:t xml:space="preserve">1. für die vorgesehene Verwendung geeignet sind und von den in den Technischen Baubestimmungen enthaltenen Planungs-, Bemessungs-, Ausführungs- und Anwendungsregelungen, die vom Eisenbahn-Bundesamt veröffentlicht worden sind, nicht oder nicht wesentlich abweichen und ein Übereinstimmungszeichen tragen,</w:t>
      </w:r>
    </w:p>
    <w:p>
      <w:pPr>
        <w:ind w:left="420"/>
      </w:pPr>
      <w:r>
        <w:t xml:space="preserve">2. das CE-Zeichen tragen und eine entsprechende Erklärung der Leistung für die vorgesehene Verwendung haben,</w:t>
      </w:r>
    </w:p>
    <w:p>
      <w:pPr>
        <w:ind w:left="420"/>
      </w:pPr>
      <w:r>
        <w:t xml:space="preserve">3. als Interoperabilitätskomponenten eine für die vorgesehene Verwendung entsprechende Konformitätserklärung haben und alle bauordnungsrechtlichen Anforderungen erfüllen,</w:t>
      </w:r>
    </w:p>
    <w:p>
      <w:pPr>
        <w:ind w:left="420"/>
      </w:pPr>
      <w:r>
        <w:t xml:space="preserve">4. für die vorgesehene Verwendung geeignet sind und eine allgemeine bauaufsichtliche Zulassung des Deutschen Instituts für Bautechnik oder ein allgemeines bauaufsichtliches Prüfzeugnis einer Prüfstelle haben,</w:t>
      </w:r>
    </w:p>
    <w:p>
      <w:pPr>
        <w:ind w:left="420"/>
      </w:pPr>
      <w:r>
        <w:t xml:space="preserve">5. den technischen Vorschriften entsprechen, die auf der Grundlage eines im Rahmen der Sicherheitsgenehmigung freigegebenen Verfahrens für definierte Bauprodukte durch das Eisenbahninfrastrukturunternehmen definiert sind,</w:t>
      </w:r>
    </w:p>
    <w:p>
      <w:pPr>
        <w:ind w:left="420"/>
      </w:pPr>
      <w:r>
        <w:t xml:space="preserve">6. für die Erfüllung bauordnungsrechtlicher Anforderungen von untergeordneter Bedeutung sind und keines Verwendbarkeitsnachweises bedürfen oder</w:t>
      </w:r>
    </w:p>
    <w:p>
      <w:pPr>
        <w:ind w:left="420"/>
      </w:pPr>
      <w:r>
        <w:t xml:space="preserve">7. die öffentliche Sicherheit und Ordnung nicht gefährden und in den technischen Vorschriften öffentlich bekannt gemacht worden sind.</w:t>
      </w:r>
    </w:p>
    <w:p>
      <w:r>
        <w:t xml:space="preserve">(5) Abweichend von Absatz 1 dürfen Bauarten ohne Zulassung angewendet werden, wenn sie</w:t>
      </w:r>
    </w:p>
    <w:p>
      <w:pPr>
        <w:ind w:left="420"/>
      </w:pPr>
      <w:r>
        <w:t xml:space="preserve">1. den in den Technischen Baubestimmungen enthaltenen Planungs-, Bemessungs-, Ausführungs- und Anwendungsregelungen, die vom Eisenbahn-Bundesamt veröffentlicht worden sind, entsprechen,</w:t>
      </w:r>
    </w:p>
    <w:p>
      <w:pPr>
        <w:ind w:left="420"/>
      </w:pPr>
      <w:r>
        <w:t xml:space="preserve">2. eine allgemeine Bauartgenehmigung durch das Deutsche Institut für Bautechnik haben oder</w:t>
      </w:r>
    </w:p>
    <w:p>
      <w:pPr>
        <w:ind w:left="420"/>
      </w:pPr>
      <w:r>
        <w:t xml:space="preserve">3. den technischen Vorschriften entsprechen, die auf der Grundlage eines im Rahmen der Sicherheitsgenehmigung freigegebenen Verfahrens für definierte Bauarten durch das Eisenbahninfrastrukturunternehmen definiert sind.</w:t>
      </w:r>
    </w:p>
    <w:p>
      <w:r>
        <w:t xml:space="preserve">(6) Die Zulassung für Bauprodukte oder Bauarten nach Absatz 3 gilt längstens für fünf Jahre. Die Zulassung kann jeweils um längstens fünf Jahre verlängert werden.</w:t>
      </w:r>
    </w:p>
    <w:p>
      <w:r>
        <w:rPr>
          <w:color w:val="555555"/>
          <w:sz w:val="17"/>
        </w:rPr>
        <w:t xml:space="preserve">Zitiervorschlag: § 26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