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25a EIGV — Maßnahmen gegenüber dem Hersteller, wenn Interoperabilitätskomponenten die grundlegenden Anforderungen nicht erfüllen</w:t>
      </w:r>
    </w:p>
    <w:p>
      <w:r>
        <w:rPr>
          <w:color w:val="555555"/>
          <w:sz w:val="18"/>
        </w:rPr>
        <w:t xml:space="preserve">Eisenbahn-Inbetriebnahmegenehmigungsverordnung</w:t>
      </w:r>
    </w:p>
    <w:p>
      <w:r>
        <w:rPr>
          <w:color w:val="555555"/>
          <w:sz w:val="18"/>
        </w:rPr>
        <w:t xml:space="preserve">Stand: 02.07.2020 (konsolidierte Textfassung, kein amtliches Inkrafttretensdatum)</w:t>
      </w:r>
    </w:p>
    <w:p>
      <w:r>
        <w:t xml:space="preserve">(1) Stellt das Eisenbahn-Bundesamt fest, dass die EG-Konformitätserklärung oder die EG-Gebrauchstauglichkeitserklärung unberechtigterweise ausgestellt worden ist, so fordert es den Hersteller oder seinen Bevollmächtigten auf, dass die Interoperabilitätskomponente</w:t>
      </w:r>
    </w:p>
    <w:p>
      <w:pPr>
        <w:ind w:left="420"/>
      </w:pPr>
      <w:r>
        <w:t xml:space="preserve">1. nicht auf den Markt gebracht wird oder</w:t>
      </w:r>
    </w:p>
    <w:p>
      <w:pPr>
        <w:ind w:left="420"/>
      </w:pPr>
      <w:r>
        <w:t xml:space="preserve">2. zurückgerufen wird, wenn sie sich bereits auf dem Markt befindet.</w:t>
      </w:r>
    </w:p>
    <w:p>
      <w:r>
        <w:t xml:space="preserve">(2) Der Hersteller darf die Interoperabilitätskomponente nach Absatz 1 erst wieder verwenden, wenn diese die Voraussetzungen nach § 24 Absatz 1 erfüllt.</w:t>
      </w:r>
    </w:p>
    <w:p>
      <w:r>
        <w:t xml:space="preserve">(3) Ist eine EG-Konformitätserklärung unberechtigterweise ausgestellt worden, so unterrichtet das Eisenbahn-Bundesamt die Kommission und die anderen Mitgliedstaaten der Europäischen Union über die getroffenen Maßnahmen nach Absatz 1.</w:t>
      </w:r>
    </w:p>
    <w:p>
      <w:r>
        <w:rPr>
          <w:color w:val="555555"/>
          <w:sz w:val="17"/>
        </w:rPr>
        <w:t xml:space="preserve">Zitiervorschlag: § 25a EIGV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https://recht.nulegal.eu/gesetze/EIGV/25a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