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EIGV — Interoperabilitätskomponenten, die die grundlegenden Anforderungen nicht erfüllen</w:t>
      </w:r>
    </w:p>
    <w:p>
      <w:r>
        <w:rPr>
          <w:color w:val="555555"/>
          <w:sz w:val="18"/>
        </w:rPr>
        <w:t xml:space="preserve">Eisenbahn-Inbetriebnahmegenehmigungsverordnung</w:t>
      </w:r>
    </w:p>
    <w:p>
      <w:r>
        <w:rPr>
          <w:color w:val="555555"/>
          <w:sz w:val="18"/>
        </w:rPr>
        <w:t xml:space="preserve">Stand: 02.07.2020 (konsolidierte Textfassung, kein amtliches Inkrafttretensdatum)</w:t>
      </w:r>
    </w:p>
    <w:p>
      <w:r>
        <w:t xml:space="preserve">(1) Stellt das Eisenbahn-Bundesamt fest, dass eine Interoperabilitätskomponente,</w:t>
      </w:r>
    </w:p>
    <w:p>
      <w:pPr>
        <w:ind w:left="420"/>
      </w:pPr>
      <w:r>
        <w:t xml:space="preserve">1. für die eine EG-Konformitäts- oder eine Gebrauchstauglichkeitserklärung vorliegt,</w:t>
      </w:r>
    </w:p>
    <w:p>
      <w:pPr>
        <w:ind w:left="420"/>
      </w:pPr>
      <w:r>
        <w:t xml:space="preserve">2. die in Verkehr gebracht worden ist und</w:t>
      </w:r>
    </w:p>
    <w:p>
      <w:pPr>
        <w:ind w:left="420"/>
      </w:pPr>
      <w:r>
        <w:t xml:space="preserve">3. die bestimmungsgemäß verwendet wird,</w:t>
      </w:r>
    </w:p>
    <w:p>
      <w:r>
        <w:t xml:space="preserve">die grundlegenden Anforderungen nicht erfüllt, so kann das Eisenbahn-Bundesamt Maßnahmen nach § 5a Absatz 2 des Allgemeinen Eisenbahngesetzes treffen, um den Einsatzbereich dieser Interoperabilitätskomponente zu beschränken, ihre Verwendung zu verbieten, sie vom Markt zu nehmen oder zurückzurufen.</w:t>
      </w:r>
    </w:p>
    <w:p>
      <w:r>
        <w:t xml:space="preserve">(2) Im Fall des Absatzes 1 unterrichtet das Eisenbahn-Bundesamt die Kommission, die Agentur und die anderen Mitgliedstaaten der Europäischen Union unverzüglich über die getroffenen Maßnahmen und nennt die Gründe seiner Entscheidung. Das Eisenbahn-Bundesamt erläutert insbesondere, inwieweit</w:t>
      </w:r>
    </w:p>
    <w:p>
      <w:pPr>
        <w:ind w:left="420"/>
      </w:pPr>
      <w:r>
        <w:t xml:space="preserve">1. die grundlegenden Anforderungen nicht erfüllt werden,</w:t>
      </w:r>
    </w:p>
    <w:p>
      <w:pPr>
        <w:ind w:left="420"/>
      </w:pPr>
      <w:r>
        <w:t xml:space="preserve">2. die europäischen Spezifikationen, soweit sie in Anspruch genommen werden, nicht ordnungsgemäß angewandt worden sind oder</w:t>
      </w:r>
    </w:p>
    <w:p>
      <w:pPr>
        <w:ind w:left="420"/>
      </w:pPr>
      <w:r>
        <w:t xml:space="preserve">3. die europäischen Spezifikationen unvollständig sind.</w:t>
      </w:r>
    </w:p>
    <w:p>
      <w:r>
        <w:rPr>
          <w:color w:val="555555"/>
          <w:sz w:val="17"/>
        </w:rPr>
        <w:t xml:space="preserve">Zitiervorschlag: § 25 EIGV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https://recht.nulegal.eu/gesetze/EIGV/25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