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EIGV — Verfahren bei Aufrüstung und Erneuerung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Innerhalb eines Monats nach Eingang der Anzeige und der zur Prüfung erforderlichen Unterlagen entscheidet die Genehmigungsstelle, ob die angezeigte Maßnahme nach § 21 einer Inbetriebnahmegenehmigung bedarf. Stellt die Genehmigungsstelle vor Ablauf der Frist Mängel hinsichtlich der vorgelegten Unterlagen fest, hat sie dem Anzeigenden Gelegenheit zur Beseitigung zu geben. Im Fall des Satzes 2 ist die Frist bis zur Beseitigung der Mängel gehemmt.</w:t>
      </w:r>
    </w:p>
    <w:p>
      <w:r>
        <w:t xml:space="preserve">(2) Betrifft die angezeigte Maßnahme die Ausrüstung mit</w:t>
      </w:r>
    </w:p>
    <w:p>
      <w:pPr>
        <w:ind w:left="420"/>
      </w:pPr>
      <w:r>
        <w:t xml:space="preserve">1. dem Europäischen Zugsicherungs- und Zugsteuerungssystem oder</w:t>
      </w:r>
    </w:p>
    <w:p>
      <w:pPr>
        <w:ind w:left="420"/>
      </w:pPr>
      <w:r>
        <w:t xml:space="preserve">2. dem Globalen Mobilfunksystem für Eisenbahnen,</w:t>
      </w:r>
    </w:p>
    <w:p>
      <w:r>
        <w:t xml:space="preserve">so prüft die Genehmigungsstelle in enger Zusammenarbeit mit der Agentur die eingereichten Unterlagen und entscheidet, ob die angezeigte Maßnahme nach § 21 einer Inbetriebnahmegenehmigung bedarf.</w:t>
      </w:r>
    </w:p>
    <w:p>
      <w:r>
        <w:t xml:space="preserve">(3) Entscheidet die Genehmigungsstelle, dass eine Inbetriebnahmegenehmigung erforderlich ist, so gilt die Anzeige als Antrag auf Erteilung der Inbetriebnahmegenehmigung. In diesem Fall gilt der Zeitpunkt des Eingangs der Anzeige bei der Genehmigungsstelle als Zeitpunkt der Antragstellung. Die Genehmigungsstelle bestätigt dem Anzeigenden unverzüglich schriftlich oder elektronisch diesen Zeitpunkt, nachdem sie entschieden hat, dass eine Inbetriebnahmegenehmigung erforderlich ist.</w:t>
      </w:r>
    </w:p>
    <w:p>
      <w:r>
        <w:t xml:space="preserve">(4) Sind der Genehmigungsstelle sicherheitsrelevante Mängel an dem angezeigten Bestandteil des Eisenbahnsystems oder an hinsichtlich Bauweise und Funktion vergleichbaren Bestandteilen des Eisenbahnsystems bekannt, welche die veränderten oder nicht übereinstimmenden Teile oder die Auswirkungen auf den Bestandteil des Eisenbahnsystems betreffen, informiert sie den Anzeigenden.</w:t>
      </w:r>
    </w:p>
    <w:p>
      <w:r>
        <w:t xml:space="preserve">(5) Falls eine Inbetriebnahmegenehmigung erforderlich ist, entscheidet die Genehmigungsstelle über die Erteilung der Genehmigung innerhalb von vier Monaten nach Vorlage aller erforderlichen Unterlagen. Für die Prüfung, ob eine Genehmigung erteilt wird, gelten die §§ 16, 17 und 19 entsprechend mit der Maßgabe, dass sich die Prüfung auf den von der Aufrüstung oder Erneuerung betroffenen Teil des Bestandteils des Eisenbahnsystems einschließlich seiner Schnittstellen beschränkt.</w:t>
      </w:r>
    </w:p>
    <w:p>
      <w:r>
        <w:rPr>
          <w:color w:val="555555"/>
          <w:sz w:val="17"/>
        </w:rPr>
        <w:t xml:space="preserve">Zitiervorschlag: § 22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