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EIGV — Begriffsbestimmungen</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Im Sinne dieser Verordnung ist oder sind:</w:t>
      </w:r>
    </w:p>
    <w:p>
      <w:pPr>
        <w:ind w:left="420"/>
      </w:pPr>
      <w:r>
        <w:t xml:space="preserve">1. „Akkreditierung“ die Akkreditierung im Sinne von Artikel 2 Nummer 10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in der jeweils geltenden Fassung;</w:t>
      </w:r>
    </w:p>
    <w:p>
      <w:pPr>
        <w:ind w:left="420"/>
      </w:pPr>
      <w:r>
        <w:t xml:space="preserve">2. „Aufrüstung“ umfangreiche Änderungsarbeiten an Bestandteilen des Eisenbahnsystems oder Teilen davon, sodass die Gesamtleistung des Bestandteils des Eisenbahnsystems verbessert wird;</w:t>
      </w:r>
    </w:p>
    <w:p>
      <w:pPr>
        <w:ind w:left="420"/>
      </w:pPr>
      <w:r>
        <w:t xml:space="preserve">3. „Austausch im Zuge von Instandhaltungsarbeiten“ der Ersatz von Bauteilen im Rahmen von Wartungs- oder Reparaturarbeiten durch Teile gleicher Funktion und Leistung;</w:t>
      </w:r>
    </w:p>
    <w:p>
      <w:pPr>
        <w:ind w:left="420"/>
      </w:pPr>
      <w:r>
        <w:t xml:space="preserve">4. „benannte Stelle“ eine Stelle im Sinne des Kapitels VI der Richtlinie (EU) 2016/797, die damit betraut ist, die Konformität oder die Gebrauchstauglichkeit der Interoperabilitätskomponenten zu bewerten oder das EG-Prüfverfahren für strukturelle Teilsysteme nach Artikel 15 Absatz 1 der Richtlinie (EU) 2016/797 durchzuführen;</w:t>
      </w:r>
    </w:p>
    <w:p>
      <w:pPr>
        <w:ind w:left="420"/>
      </w:pPr>
      <w:r>
        <w:t xml:space="preserve">5. „Bestandteile des Eisenbahnsystems“ die strukturellen Teilsysteme und die übrige Eisenbahninfrastruktur;</w:t>
      </w:r>
    </w:p>
    <w:p>
      <w:pPr>
        <w:ind w:left="420"/>
      </w:pPr>
      <w:r>
        <w:t xml:space="preserve">6. „bestimmte Stelle“ eine Stelle im Sinne des Kapitels VI der Richtlinie (EU) 2016/797, die damit betraut ist, das Prüfverfahren nach Artikel 15 Absatz 8 in Verbindung mit Absatz 1 der Richtlinie (EU) 2016/797 durchzuführen;</w:t>
      </w:r>
    </w:p>
    <w:p>
      <w:pPr>
        <w:ind w:left="420"/>
      </w:pPr>
      <w:r>
        <w:t xml:space="preserve">7. „Durchgangsstrecke“ ein Streckenabschnitt zwischen zwei festgelegten Bahnhöfen im Inland, der über ausländisches Staatsgebiet führt, sowie ein Streckenabschnitt zwischen zwei festgelegten Bahnhöfen im Ausland, der über deutsches Staatsgebiet führt;</w:t>
      </w:r>
    </w:p>
    <w:p>
      <w:pPr>
        <w:ind w:left="420"/>
      </w:pPr>
      <w:r>
        <w:t xml:space="preserve">8. „Erneuerung“ umfangreiche Arbeiten zum Austausch an Bestandteilen des Eisenbahnsystems oder Teilen davon, sodass die Gesamtleistung des Bestandteils des Eisenbahnsystems nicht verändert wird;</w:t>
      </w:r>
    </w:p>
    <w:p>
      <w:pPr>
        <w:ind w:left="420"/>
      </w:pPr>
      <w:r>
        <w:t xml:space="preserve">9. „erstmalige Inbetriebnahme der Teilsysteme Infrastruktur, Energie, streckenseitige Zugsteuerung, Zugsicherung und Signalgebung oder der übrigen Eisenbahninfrastruktur“ die Inbetriebnahme nach erfolgter Errichtung einer neuen Strecke, eines neuen Bahnhofs oder Haltepunktes an einer neuen Strecke, mit der eine bislang noch nicht bestehende Verbindung geschaffen wird;</w:t>
      </w:r>
    </w:p>
    <w:p>
      <w:pPr>
        <w:ind w:left="420"/>
      </w:pPr>
      <w:r>
        <w:t xml:space="preserve">10. „Fahrzeugtyp“ ein Typ entsprechend den grundlegenden Konstruktionsmerkmalen eines Fahrzeugs, der nach einem einschlägigen Prüfungsmodul in einem Baumuster oder einer Entwurfsprüfbescheinigung beschrieben ist;</w:t>
      </w:r>
    </w:p>
    <w:p>
      <w:pPr>
        <w:ind w:left="420"/>
      </w:pPr>
      <w:r>
        <w:t xml:space="preserve">11. „Grenzbetriebsstrecke“ der Streckenabschnitt zwischen festgelegten Bahnhöfen beiderseits einer Staatsgrenze, einschließlich dieser Bahnhöfe;</w:t>
      </w:r>
    </w:p>
    <w:p>
      <w:pPr>
        <w:ind w:left="420"/>
      </w:pPr>
      <w:r>
        <w:t xml:space="preserve">12. „Interoperabilität“ die Eignung eines Eisenbahnsystems für den sicheren und durchgehenden Zugverkehr, indem den erforderlichen Leistungskennwerten entsprochen wird;</w:t>
      </w:r>
    </w:p>
    <w:p>
      <w:pPr>
        <w:ind w:left="420"/>
      </w:pPr>
      <w:r>
        <w:t xml:space="preserve">13. „Interoperabilitätskomponenten“ Bauteile, Bauteilgruppen, Unterbaugruppen oder komplette Materialbaugruppen, die in ein strukturelles Teilsystem eingebaut sind oder eingebaut werden sollen und von denen die Interoperabilität des Eisenbahnsystems direkt oder indirekt abhängt, wobei sowohl materielle als auch immaterielle Produkte wie Software umfasst sind;</w:t>
      </w:r>
    </w:p>
    <w:p>
      <w:pPr>
        <w:ind w:left="420"/>
      </w:pPr>
      <w:r>
        <w:t xml:space="preserve">14. „Inverkehrbringen“ die erstmalige Bereitstellung</w:t>
      </w:r>
    </w:p>
    <w:p>
      <w:pPr>
        <w:ind w:left="780"/>
      </w:pPr>
      <w:r>
        <w:t xml:space="preserve">a) einer Interoperabilitätskomponente,</w:t>
      </w:r>
    </w:p>
    <w:p>
      <w:pPr>
        <w:ind w:left="780"/>
      </w:pPr>
      <w:r>
        <w:t xml:space="preserve">b) eines Bauprodukts,</w:t>
      </w:r>
    </w:p>
    <w:p>
      <w:pPr>
        <w:ind w:left="780"/>
      </w:pPr>
      <w:r>
        <w:t xml:space="preserve">c) eines sicherungstechnischen oder elektrotechnischen Systems oder seiner Bestandteile oder</w:t>
      </w:r>
    </w:p>
    <w:p>
      <w:pPr>
        <w:ind w:left="780"/>
      </w:pPr>
      <w:r>
        <w:t xml:space="preserve">d) eines Fahrzeugs</w:t>
      </w:r>
    </w:p>
    <w:p>
      <w:pPr>
        <w:ind w:left="420"/>
      </w:pPr>
      <w:r>
        <w:t xml:space="preserve">in Betriebsbereitschaft;</w:t>
      </w:r>
    </w:p>
    <w:p>
      <w:pPr>
        <w:ind w:left="420"/>
      </w:pPr>
      <w:r>
        <w:t xml:space="preserve">15. „Konformitätsbewertung“ das Verfahren zur Bewertung, ob bestimmte Anforderungen an ein Produkt, ein Verfahren, eine Dienstleistung, ein Teilsystem, eine Person oder eine Stelle erfüllt sind;</w:t>
      </w:r>
    </w:p>
    <w:p>
      <w:pPr>
        <w:ind w:left="420"/>
      </w:pPr>
      <w:r>
        <w:t xml:space="preserve">16. „Konformitätsbewertungsstelle“ eine Stelle, die als zuständige Stelle für Konformitätsbewertungstätigkeiten einschließlich Kalibrierung, Prüfung, Zertifizierung und Inspektion anerkannt worden ist; eine solche Stelle gilt nach der Benennung durch die Anerkennungsstelle als benannte Stelle oder nach der Bestimmung durch die Anerkennungsstelle als bestimmte Stelle;</w:t>
      </w:r>
    </w:p>
    <w:p>
      <w:pPr>
        <w:ind w:left="420"/>
      </w:pPr>
      <w:r>
        <w:t xml:space="preserve">17. „notifizierte technische Vorschriften“ die notifizierten nationalen technischen Vorschriften nach Artikel 17 Absatz 3 der Richtlinie 2008/57/EG des Europäischen Parlaments und des Rates vom 17. Juni 2008 über die Interoperabilität des Eisenbahnsystems in der Gemeinschaft (Neufassung) (ABl. L 191 vom 18.7.2008, S. 1; L 103 vom 22.4.2015, S. 11), die zuletzt durch die Richtlinie 2014/106/EU (ABl. L 355 vom 12.12.2014, S. 42) geändert worden ist, oder nach Artikel 14 der Richtlinie (EU) 2016/797, die zur Erfüllung der grundlegenden Anforderungen einzuhalten sind;</w:t>
      </w:r>
    </w:p>
    <w:p>
      <w:pPr>
        <w:ind w:left="420"/>
      </w:pPr>
      <w:r>
        <w:t xml:space="preserve">18. „Probefahrten“ Fahrten zur praktischen Erprobung noch nicht genehmigter technischer oder betrieblicher Parameter struktureller Teilsysteme oder Fahrten zur Erprobung der sicheren Integration der strukturellen Teilsysteme untereinander; die Erprobung ist nur vorübergehend und schließt einen bestimmungsgemäßen Betrieb, insbesondere die Beförderung von Personen und Gütern, aus;</w:t>
      </w:r>
    </w:p>
    <w:p>
      <w:pPr>
        <w:ind w:left="420"/>
      </w:pPr>
      <w:r>
        <w:t xml:space="preserve">19. „Prüfsachverständiger“ eine unabhängige, fachkundige natürliche Person nach § 4b des Allgemeinen Eisenbahngesetzes, die die Einhaltung der technischen Vorschriften bescheinigt;</w:t>
      </w:r>
    </w:p>
    <w:p>
      <w:pPr>
        <w:ind w:left="420"/>
      </w:pPr>
      <w:r>
        <w:t xml:space="preserve">20. „sichere Integration“ die Maßnahme zur Sicherstellung, dass die Eingliederung eines Elements, wie beispielsweise ein neuer Fahrzeugtyp, ein Netzprojekt, ein Teilsystem, ein Bauteil, ein Verfahren, eine Komponente, eine Software oder eine Organisation, in ein bestehendes System keine inakzeptablen Risiken für das Gesamtsystem zur Folge hat;</w:t>
      </w:r>
    </w:p>
    <w:p>
      <w:pPr>
        <w:ind w:left="420"/>
      </w:pPr>
      <w:r>
        <w:t xml:space="preserve">21. „sicherungstechnische Systeme“ Systeme in der Signaltechnik und der Telekommunikationstechnik, die zur Sicherheit im Eisenbahnsystem beitragen;</w:t>
      </w:r>
    </w:p>
    <w:p>
      <w:pPr>
        <w:ind w:left="420"/>
      </w:pPr>
      <w:r>
        <w:t xml:space="preserve">22. „technische Kompatibilität“ die Fähigkeit von zwei oder mehr Bestandteilen des Eisenbahnsystems oder Teilen davon, die mindestens über eine gemeinsame Schnittstelle verfügen, zusammenzuwirken und dabei ihre eigenen betrieblichen Auslegungsmerkmale und ihr erwartetes Leistungsniveau zu behalten;</w:t>
      </w:r>
    </w:p>
    <w:p>
      <w:pPr>
        <w:ind w:left="420"/>
      </w:pPr>
      <w:r>
        <w:t xml:space="preserve">23. „Technische Spezifikationen für die Interoperabilität“ Spezifikationen im Sinne des Kapitels II der Richtlinie (EU) 2016/797, der Richtlinie 2008/57/EG, der Richtlinie 96/48/EG des Rates vom 23. Juli 1996 über die Interoperabilität des transeuropäischen Hochgeschwindigkeitsbahnsystems (ABl. L 235 vom 17.9.1996, S. 6) oder der Richtlinie 2001/16/EG des Europäischen Parlaments und des Rates vom 19. März 2001 über die Interoperabilität des konventionellen transeuropäischen Eisenbahnsystems (ABl. L 110 vom 20.4.2001, S. 1), die jeweils zuletzt durch die Richtlinie 2007/32/EG (ABl. L 141 vom 2.6.2007, S. 63) geändert worden sind, die für jedes Teilsystem oder Teile davon im Hinblick auf die Erfüllung der grundlegenden Anforderungen gelten und die Interoperabilität gewährleisten;</w:t>
      </w:r>
    </w:p>
    <w:p>
      <w:pPr>
        <w:ind w:left="420"/>
      </w:pPr>
      <w:r>
        <w:t xml:space="preserve">24. „technische Vorschriften“ die nationalen technischen Vorschriften, die zusätzlich zu den notifizierten technischen Vorschriften im Bereich der Teilsysteme Infrastruktur, Energie, streckenseitige Zugsteuerung, Zugsicherung und Signalgebung sowie der übrigen Eisenbahninfrastruktur zur Erfüllung der grundlegenden Anforderungen einzuhalten sind;</w:t>
      </w:r>
    </w:p>
    <w:p>
      <w:pPr>
        <w:ind w:left="420"/>
      </w:pPr>
      <w:r>
        <w:t xml:space="preserve">25. „Teilprüfung“ eine auf einen vom Antragsteller definierten in sich abgeschlossenen Teil des Antragsgegenstands beschränkte Prüfung;</w:t>
      </w:r>
    </w:p>
    <w:p>
      <w:pPr>
        <w:ind w:left="420"/>
      </w:pPr>
      <w:r>
        <w:t xml:space="preserve">26. „Teilsysteme“ die in Anhang II der Richtlinie (EU) 2016/797 aufgeführten strukturellen und funktionellen Teile des Eisenbahnsystems;</w:t>
      </w:r>
    </w:p>
    <w:p>
      <w:pPr>
        <w:ind w:left="420"/>
      </w:pPr>
      <w:r>
        <w:t xml:space="preserve">27. „übrige Eisenbahninfrastruktur“ alle baulichen Anlagen, die nicht in den Teilsystemen Infrastruktur, Energie sowie streckenseitige Zugsteuerung, Zugsicherung und Signalgebung enthalten sind;</w:t>
      </w:r>
    </w:p>
    <w:p>
      <w:pPr>
        <w:ind w:left="420"/>
      </w:pPr>
      <w:r>
        <w:t xml:space="preserve">28. „veränderte oder nicht übereinstimmende Teile“ alle Teile eines Bestandteils des Eisenbahnsystems, die im Rahmen einer angezeigten Aufrüstung oder Erneuerung verändert werden;</w:t>
      </w:r>
    </w:p>
    <w:p>
      <w:pPr>
        <w:ind w:left="420"/>
      </w:pPr>
      <w:r>
        <w:t xml:space="preserve">29. „Verwendungsgebiet eines Fahrzeugs“ ein Netz oder Netze in einem Mitgliedstaat oder mehreren Mitgliedstaaten der Europäischen Union, in dem oder denen ein Fahrzeug im Eisenbahnbetrieb eingesetzt werden soll;</w:t>
      </w:r>
    </w:p>
    <w:p>
      <w:pPr>
        <w:ind w:left="420"/>
      </w:pPr>
      <w:r>
        <w:t xml:space="preserve">30. „Zeitpunkt der Antragstellung“ Zeitpunkt des Eingangs des Antrags auf Genehmigung eines Bestandteils des Eisenbahnsystems beim Eisenbahn-Bundesamt;</w:t>
      </w:r>
    </w:p>
    <w:p>
      <w:pPr>
        <w:ind w:left="420"/>
      </w:pPr>
      <w:r>
        <w:t xml:space="preserve">31. „zentrale Anlaufstelle“ das Informations- und Kommunikationssystem im Sinne des Artikels 12 der Verordnung (EU) 2016/796 des Europäischen Parlaments und des Rates vom 11. Mai 2016 über die Eisenbahnagentur der Europäischen Union und zur Aufhebung der Verordnung (EG) Nr. 881/2004 (ABl. L 138 vom 26.5.2016, S. 1) in der jeweils geltenden Fassung;</w:t>
      </w:r>
    </w:p>
    <w:p>
      <w:pPr>
        <w:ind w:left="420"/>
      </w:pPr>
      <w:r>
        <w:t xml:space="preserve">32. „zwischenzeitliche Betriebsaufnahme“ die Aufnahme des Eisenbahnbetriebs auf einer Eisenbahninfrastruktur, die noch nicht den baulichen Endzustand erreicht hat;</w:t>
      </w:r>
    </w:p>
    <w:p>
      <w:pPr>
        <w:ind w:left="420"/>
      </w:pPr>
      <w:r>
        <w:t xml:space="preserve">33. „Zwischenzustände“ für einen Übergangszeitraum bestehende, in sich abgeschlossene Änderungen an der Eisenbahninfrastruktur, die sich infolge des baulichen Fortschritts ergeben und nicht den baulich realisierten Endzustand der Gesamtmaßnahme darstellen.</w:t>
      </w:r>
    </w:p>
    <w:p>
      <w:r>
        <w:rPr>
          <w:color w:val="555555"/>
          <w:sz w:val="17"/>
        </w:rPr>
        <w:t xml:space="preserve">Zitiervorschlag: § 2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