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EIGV — Antrag auf Erteilung einer Inbetriebnahmegenehmigung und Pflichten des Antragstellers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Das Eisenbahninfrastrukturunternehmen hat den Antrag und die zur Prüfung des Antrags erforderlichen Unterlagen nach § 16 Absatz 1 Satz 3, Absatz 2 und nach Anlage 6 der Genehmigungsstelle 24 Monate vor dem geplanten Inbetriebnahmetermin, spätestens zehn Wochen vor Baubeginn vorzulegen.</w:t>
      </w:r>
    </w:p>
    <w:p>
      <w:r>
        <w:t xml:space="preserve">(2) Werden innerhalb eines strukturellen Teilsystems mehrere Teilprüfungen vorgenommen und dafür verschiedene Stellen eingesetzt, hat der Antragsteller die Teilprüfungen zusammenzuführen und deren Kohärenz sicherzustellen. Dafür kann er eine Stelle beauftragen.</w:t>
      </w:r>
    </w:p>
    <w:p>
      <w:r>
        <w:t xml:space="preserve">(3) Der Antragsteller hat der Genehmigungsstelle zusätzlich zu dem Antrag auf Erteilung der Inbetriebnahmegenehmigung eine Liste der nach § 6 anzuwendenden Vorschriften vorzulegen. In diese Liste sind aufzunehmen und zu begründen etwaige Abweichungen von</w:t>
      </w:r>
    </w:p>
    <w:p>
      <w:pPr>
        <w:ind w:left="420"/>
      </w:pPr>
      <w:r>
        <w:t xml:space="preserve">1. den Technischen Spezifikationen für die Interoperabilität,</w:t>
      </w:r>
    </w:p>
    <w:p>
      <w:pPr>
        <w:ind w:left="420"/>
      </w:pPr>
      <w:r>
        <w:t xml:space="preserve">2. den entsprechenden notifizierten technischen Vorschriften und,</w:t>
      </w:r>
    </w:p>
    <w:p>
      <w:pPr>
        <w:ind w:left="420"/>
      </w:pPr>
      <w:r>
        <w:t xml:space="preserve">3. soweit erforderlich, den technischen Vorschriften.</w:t>
      </w:r>
    </w:p>
    <w:p>
      <w:r>
        <w:t xml:space="preserve">Gleichzeitig sind die stattdessen anzuwendenden Vorschriften anzugeben oder Nachweise zu führen, dass mindestens die gleiche Sicherheit gewährleistet ist.</w:t>
      </w:r>
    </w:p>
    <w:p>
      <w:r>
        <w:t xml:space="preserve">(4) Der Antragsteller hat einen Inbetriebnahmeverantwortlichen oder einen anderen geeigneten Mitarbeiter zu bestellen, der insbesondere prüft und bestätigt, dass</w:t>
      </w:r>
    </w:p>
    <w:p>
      <w:pPr>
        <w:ind w:left="420"/>
      </w:pPr>
      <w:r>
        <w:t xml:space="preserve">1. sicher gebaut, insbesondere die Bauüberwachung durchgeführt worden ist,</w:t>
      </w:r>
    </w:p>
    <w:p>
      <w:pPr>
        <w:ind w:left="420"/>
      </w:pPr>
      <w:r>
        <w:t xml:space="preserve">2. alle notwendigen Prüfungen zur Einhaltung der grundlegenden Anforderungen einschließlich notwendiger Schnittstellenbetrachtungen durchgeführt worden sind,</w:t>
      </w:r>
    </w:p>
    <w:p>
      <w:pPr>
        <w:ind w:left="420"/>
      </w:pPr>
      <w:r>
        <w:t xml:space="preserve">3. die Anforderungen und Nachweise nach § 16 Absatz 1 Satz 3 Nummer 4 bis 7 vollständig erbracht worden sind,</w:t>
      </w:r>
    </w:p>
    <w:p>
      <w:pPr>
        <w:ind w:left="420"/>
      </w:pPr>
      <w:r>
        <w:t xml:space="preserve">4. soweit einschlägig, alle Auflagen aus den Nachweisen nach Nummer 3 umgesetzt worden sind und</w:t>
      </w:r>
    </w:p>
    <w:p>
      <w:pPr>
        <w:ind w:left="420"/>
      </w:pPr>
      <w:r>
        <w:t xml:space="preserve">5. Auflagen und Nebenbestimmungen aus Inbetriebnahmegenehmigungen beachtet sowie vorhandene Mängel innerhalb einer durch ihn zu bestimmenden, angemessenen Frist beseitigt worden sind.</w:t>
      </w:r>
    </w:p>
    <w:p>
      <w:r>
        <w:t xml:space="preserve">(5) Soweit von technischen Vorschriften abgewichen wird, sind Nachweise zu führen, dass mindestens die gleiche Sicherheit gewährleistet ist. Zu diesem Zweck ist ein Risikomanagementverfahren nach der Durchführungsverordnung (EU) Nr. 402/2013 durchzuführen. Wenn keine signifikanten Änderungen nach Artikel 4 der Durchführungsverordnung (EU) Nr. 402/2013 vorliegen, ist die Anwendung einer eigenen Sicherheitsmethode notwendig. Das Eisenbahn-Bundesamt kann auf Basis der Ergebnisse des Risikomanagementverfahrens eine Zustimmung im Einzelfall erteilen.</w:t>
      </w:r>
    </w:p>
    <w:p>
      <w:r>
        <w:rPr>
          <w:color w:val="555555"/>
          <w:sz w:val="17"/>
        </w:rPr>
        <w:t xml:space="preserve">Zitiervorschlag: § 18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