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EIGV — Voraussetzungen für die Erteilung einer Inbetriebnahmegenehmigung, sofern Technische Spezifikationen für die Interoperabilität nicht anzuwenden sind</w:t>
      </w:r>
    </w:p>
    <w:p>
      <w:r>
        <w:rPr>
          <w:color w:val="555555"/>
          <w:sz w:val="18"/>
        </w:rPr>
        <w:t xml:space="preserve">Eisenbahn-Inbetriebnahmegenehmigungsverordnung</w:t>
      </w:r>
    </w:p>
    <w:p>
      <w:r>
        <w:rPr>
          <w:color w:val="555555"/>
          <w:sz w:val="18"/>
        </w:rPr>
        <w:t xml:space="preserve">Stand: 02.07.2020 (konsolidierte Textfassung, kein amtliches Inkrafttretensdatum)</w:t>
      </w:r>
    </w:p>
    <w:p>
      <w:r>
        <w:t xml:space="preserve">Sofern Technische Spezifikationen für die Interoperabilität nicht anzuwenden sind, ist die Inbetriebnahmegenehmigung zu erteilen, wenn die folgenden Vorschriften entsprechend erfüllt sind:</w:t>
      </w:r>
    </w:p>
    <w:p>
      <w:pPr>
        <w:ind w:left="420"/>
      </w:pPr>
      <w:r>
        <w:t xml:space="preserve">1. für strukturelle Teilsysteme: § 16 Absatz 1 Satz 2 und 3 Nummer 1 Buchstabe b, Nummer 2 bis 7 und Satz 4 sowie Absatz 3 und 4,</w:t>
      </w:r>
    </w:p>
    <w:p>
      <w:pPr>
        <w:ind w:left="420"/>
      </w:pPr>
      <w:r>
        <w:t xml:space="preserve">2. für die übrige Eisenbahninfrastruktur: § 16 Absatz 1 Satz 2 und 3 Nummer 2 bis 7 sowie Absatz 3 und 4.</w:t>
      </w:r>
    </w:p>
    <w:p>
      <w:r>
        <w:rPr>
          <w:color w:val="555555"/>
          <w:sz w:val="17"/>
        </w:rPr>
        <w:t xml:space="preserve">Zitiervorschlag: § 17 EIGV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https://recht.nulegal.eu/gesetze/EIGV/17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