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EIGV — Voraussetzungen für die Erteilung einer Inbetriebnahmegenehmigung, sofern Technische Spezifikationen für die Interoperabilität anzuwenden sind</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Sofern Technische Spezifikationen für die Interoperabilität anzuwenden sind, ist die Inbetriebnahmegenehmigung zu erteilen, wenn der Antragsteller nachweist, dass die betreffende Infrastruktur oder Anlage die grundlegenden Anforderungen erfüllt. Hierbei hat der Antragsteller insbesondere die technische Kompatibilität und die sichere Integration nachzuweisen. Dieser Nachweis gilt als erbracht mit Vorlage folgender Unterlagen:</w:t>
      </w:r>
    </w:p>
    <w:p>
      <w:pPr>
        <w:ind w:left="420"/>
      </w:pPr>
      <w:r>
        <w:t xml:space="preserve">1. einer EG-Prüferklärung nach</w:t>
      </w:r>
    </w:p>
    <w:p>
      <w:pPr>
        <w:ind w:left="780"/>
      </w:pPr>
      <w:r>
        <w:t xml:space="preserve">a) Artikel 15 Absatz 2 der Richtlinie (EU) 2016/797 in Verbindung mit Artikel 5 der Durchführungsverordnung (EU) 2019/250 einschließlich eines technischen Dossiers nach Anhang IV Nummer 2.4 der Richtlinie (EU) 2016/797, nachdem eine benannte Stelle ein EG-Prüfverfahren nach Artikel 15 Absatz 1 in Verbindung mit Anhang IV Nummer 2 der Richtlinie (EU) 2016/797 durchgeführt und hierzu eine Bescheinigung über die Konformität mit den jeweiligen Technischen Spezifikationen für die Interoperabilität ausgestellt hat,</w:t>
      </w:r>
    </w:p>
    <w:p>
      <w:pPr>
        <w:ind w:left="780"/>
      </w:pPr>
      <w:r>
        <w:t xml:space="preserve">b) Artikel 15 Absatz 2 der Richtlinie (EU) 2016/797 in Verbindung mit Artikel 5 der Durchführungsverordnung (EU) 2019/250 einschließlich eines technischen Dossiers nach Anhang IV Nummer 2.4 der Richtlinie (EU) 2016/797, nachdem eine bestimmte Stelle ein Prüfverfahren nach Artikel 15 Absatz 8 in Verbindung mit Anhang IV Nummer 3 der Richtlinie (EU) 2016/797 durchgeführt und hierzu eine Bescheinigung über die Konformität mit den entsprechenden notifizierten technischen Vorschriften ausgestellt hat; diese EG-Prüferklärung bezieht sich auch auf die Einhaltung derjenigen Vorschriften, die im Fall der Erteilung einer Ausnahme nach § 5 anstelle der Technischen Spezifikationen für die Interoperabilität zu beachten sind,</w:t>
      </w:r>
    </w:p>
    <w:p>
      <w:pPr>
        <w:ind w:left="420"/>
      </w:pPr>
      <w:r>
        <w:t xml:space="preserve">2. einer Erklärung des Antragstellers, dass der Bestandteil des Eisenbahnsystems die grundlegenden Anforderungen erfüllt und insbesondere die technische Kompatibilität sowie die sichere Integration gewährleistet sind,</w:t>
      </w:r>
    </w:p>
    <w:p>
      <w:pPr>
        <w:ind w:left="420"/>
      </w:pPr>
      <w:r>
        <w:t xml:space="preserve">3. einer Erklärung des Antragstellers, dass</w:t>
      </w:r>
    </w:p>
    <w:p>
      <w:pPr>
        <w:ind w:left="780"/>
      </w:pPr>
      <w:r>
        <w:t xml:space="preserve">a) alle ermittelten Gefährdungen und damit verbundenen Risiken auf einem vertretbaren Niveau gehalten werden und</w:t>
      </w:r>
    </w:p>
    <w:p>
      <w:pPr>
        <w:ind w:left="780"/>
      </w:pPr>
      <w:r>
        <w:t xml:space="preserve">b) eine Bewertungsstelle einen Sicherheitsbewertungsbericht nach Artikel 15 der Durchführungsverordnung (EU) Nr. 402/2013 erstellt hat, wenn</w:t>
      </w:r>
    </w:p>
    <w:p>
      <w:pPr>
        <w:ind w:left="1140"/>
      </w:pPr>
      <w:r>
        <w:t xml:space="preserve">aa) eine Technische Spezifikation für die Interoperabilität die Durchführung des Risikomanagementverfahrens nach Artikel 5 der Durchführungsverordnung (EU) Nr. 402/2013 vorschreibt oder</w:t>
      </w:r>
    </w:p>
    <w:p>
      <w:pPr>
        <w:ind w:left="1140"/>
      </w:pPr>
      <w:r>
        <w:t xml:space="preserve">bb) der Antragsteller bestätigt hat, dass eine signifikante Änderung vorliegt,</w:t>
      </w:r>
    </w:p>
    <w:p>
      <w:pPr>
        <w:ind w:left="420"/>
      </w:pPr>
      <w:r>
        <w:t xml:space="preserve">4. einer Freigabe der geprüften Planung,</w:t>
      </w:r>
    </w:p>
    <w:p>
      <w:pPr>
        <w:ind w:left="420"/>
      </w:pPr>
      <w:r>
        <w:t xml:space="preserve">5. einer Bestätigung der Verwendbarkeit der Bauprodukte, der sicherungstechnischen oder elektrotechnischen Systeme und von deren Bestandteilen oder der Anwendbarkeit der Bauarten,</w:t>
      </w:r>
    </w:p>
    <w:p>
      <w:pPr>
        <w:ind w:left="420"/>
      </w:pPr>
      <w:r>
        <w:t xml:space="preserve">6. eines Nachweises über die durchgeführte Bauüberwachung und</w:t>
      </w:r>
    </w:p>
    <w:p>
      <w:pPr>
        <w:ind w:left="420"/>
      </w:pPr>
      <w:r>
        <w:t xml:space="preserve">7. der notwendigen Abnahmeprüfungen.</w:t>
      </w:r>
    </w:p>
    <w:p>
      <w:r>
        <w:t xml:space="preserve">Der Antragsteller ist für die Erstellung des technischen Dossiers verantwortlich, das der EG-Prüferklärung beiliegen muss.</w:t>
      </w:r>
    </w:p>
    <w:p>
      <w:r>
        <w:t xml:space="preserve">(2) Zusätzlich zu Absatz 1 Satz 3 ist für eine Inbetriebnahmegenehmigung des Teilsystems streckenseitige Zugsteuerung, Zugsicherung und Signalgebung, das die Ausrüstung umfasst mit</w:t>
      </w:r>
    </w:p>
    <w:p>
      <w:pPr>
        <w:ind w:left="420"/>
      </w:pPr>
      <w:r>
        <w:t xml:space="preserve">1. dem Europäischen Zugsicherungs- und Zugsteuerungssystem oder</w:t>
      </w:r>
    </w:p>
    <w:p>
      <w:pPr>
        <w:ind w:left="420"/>
      </w:pPr>
      <w:r>
        <w:t xml:space="preserve">2. dem Globalen Mobilfunksystem für Eisenbahnen,</w:t>
      </w:r>
    </w:p>
    <w:p>
      <w:r>
        <w:t xml:space="preserve">die Zustimmung der Agentur zu dem Vorhaben vorzulegen, nachdem das Verfahren nach Artikel 19 Absatz 3 bis 5 der Richtlinie (EU) 2016/797 durchgeführt worden ist. Wird nach der Zustimmung der Agentur der Entwurf der Leistungsentscheidung oder die Beschreibung der geplanten technischen Lösungen geändert, ist das Verfahren nach Artikel 19 Absatz 6 der Richtlinie (EU) 2016/797 in Verbindung mit Artikel 30 Absatz 2 der Verordnung (EU) 2016/796 durchzuführen. Die Übereinstimmung mit dem erzielten Ergebnis des Verfahrens nach Satz 2 ist vorzulegen.</w:t>
      </w:r>
    </w:p>
    <w:p>
      <w:r>
        <w:t xml:space="preserve">(3) Wenn der Antragsteller bestätigt, dass eine Änderung nicht signifikant ist, hat er über die Änderung Aufzeichnungen zu führen. Die Aufzeichnungen hat der Antragsteller der Genehmigungsstelle auf Verlangen vorzulegen.</w:t>
      </w:r>
    </w:p>
    <w:p>
      <w:r>
        <w:t xml:space="preserve">(4) Für die Nachweise nach Absatz 1 Satz 3 Nummer 4, 5 und 7 sind die technischen Vorschriften einzuhalten. Die Einhaltung dieser Vorschriften müssen Prüfsachverständige nach § 4b des Allgemeinen Eisenbahngesetzes in Prüfbescheinigungen bestätigen. Bei sicherheitsrelevanten und signifikanten Änderungen, bei welchen eine unabhängige Bewertungsstelle gemäß der Durchführungsverordnung (EU) Nr. 402/2013 zum Einsatz kommen muss, kann die Bestätigung für den Nachweis gemäß Absatz 1 Satz 3 Nummer 5 auch von einer unabhängigen Bewertungsstelle kommen.</w:t>
      </w:r>
    </w:p>
    <w:p>
      <w:r>
        <w:rPr>
          <w:color w:val="555555"/>
          <w:sz w:val="17"/>
        </w:rPr>
        <w:t xml:space="preserve">Zitiervorschlag: § 16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