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EIGV — Probefahrten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Eisenbahnen und Fahrzeughalter dürfen ohne Genehmigung Probefahrten durchführen, wenn hierbei die Sicherheit des Eisenbahnverkehrs nicht beeinträchtigt wird.</w:t>
      </w:r>
    </w:p>
    <w:p>
      <w:r>
        <w:t xml:space="preserve">(2) Das Eisenbahnverkehrsunternehmen oder der Fahrzeughalter, das oder der die Probefahrt durchführt, hat sich mit dem betroffenen Eisenbahninfrastrukturunternehmen abzustimmen. Das betroffene Eisenbahninfrastrukturunternehmen hat dem Ersuchenden die Probefahrt innerhalb von drei Monaten nach dem erstmaligen Ersuchen zu gewähren, wenn die sichere Durchführung der Probefahrt gewährleistet ist.</w:t>
      </w:r>
    </w:p>
    <w:p>
      <w:r>
        <w:t xml:space="preserve">(3) Werden Probefahrten nicht innerhalb von drei Monaten nach dem erstmaligen Ersuchen seitens des Eisenbahninfrastrukturunternehmens gewährt, kann das Eisenbahn-Bundesamt die Durchführung von Probefahrten anordnen, wenn die sichere Durchführung der Probefahrt gewährleistet ist.</w:t>
      </w:r>
    </w:p>
    <w:p>
      <w:r>
        <w:t xml:space="preserve">(4) Probefahrten bedürfen nur dann einer Genehmigung, wenn bei den Fahrten auf den jeweiligen Strecken oder beim Befahren von Gleisbögen abgewichen werden soll von</w:t>
      </w:r>
    </w:p>
    <w:p>
      <w:pPr>
        <w:ind w:left="420"/>
      </w:pPr>
      <w:r>
        <w:t xml:space="preserve">1. zulässigen Radsatzlasten und Fahrzeuggewichten je Längeneinheit,</w:t>
      </w:r>
    </w:p>
    <w:p>
      <w:pPr>
        <w:ind w:left="420"/>
      </w:pPr>
      <w:r>
        <w:t xml:space="preserve">2. geltenden Maßen der Bezugslinie,</w:t>
      </w:r>
    </w:p>
    <w:p>
      <w:pPr>
        <w:ind w:left="420"/>
      </w:pPr>
      <w:r>
        <w:t xml:space="preserve">3. vorgeschriebenen und bestimmungsgemäß betriebenen Zugfunk- und Zugbeeinflussungsanlagen,</w:t>
      </w:r>
    </w:p>
    <w:p>
      <w:pPr>
        <w:ind w:left="420"/>
      </w:pPr>
      <w:r>
        <w:t xml:space="preserve">4. festgelegten Bremswegen oder</w:t>
      </w:r>
    </w:p>
    <w:p>
      <w:pPr>
        <w:ind w:left="420"/>
      </w:pPr>
      <w:r>
        <w:t xml:space="preserve">5. zulässigen Geschwindigkeiten.</w:t>
      </w:r>
    </w:p>
    <w:p>
      <w:r>
        <w:t xml:space="preserve">Gegenstand dieser Genehmigung ist ausschließlich die Zulässigkeit der Abweichungen von den in Satz 1 genannten Parametern. Soweit eine Genehmigung nach Satz 1 vorliegt, bedarf es im genehmigten Umfang keiner anderen eisenbahnrechtlichen Ausnahmegenehmigung.</w:t>
      </w:r>
    </w:p>
    <w:p>
      <w:r>
        <w:t xml:space="preserve">(5) Die Genehmigung nach Absatz 4 ist schriftlich oder elektronisch zu beantragen.</w:t>
      </w:r>
    </w:p>
    <w:p>
      <w:r>
        <w:t xml:space="preserve">(6) Die Genehmigung nach Absatz 4 ist zu erteilen, wenn der Antragsteller</w:t>
      </w:r>
    </w:p>
    <w:p>
      <w:pPr>
        <w:ind w:left="420"/>
      </w:pPr>
      <w:r>
        <w:t xml:space="preserve">1. für die beantragten Probefahrten ein Risikomanagementverfahren nach Artikel 5 der Durchführungsverordnung (EU) Nr. 402/2013 der Kommission vom 30. April 2013 über die gemeinsame Sicherheitsmethode für die Evaluierung und Bewertung von Risiken und zur Aufhebung der Verordnung (EG) Nr. 352/2009 (ABl. L 121 vom 3.5.2013, S. 8), die durch die Durchführungsverordnung (EU) 2015/1136 (ABl. L 185 vom 14.7.2015, S. 6; L 70 vom 16.3.2016, S. 38) geändert worden ist, in der jeweils geltenden Fassung durchgeführt hat und</w:t>
      </w:r>
    </w:p>
    <w:p>
      <w:pPr>
        <w:ind w:left="420"/>
      </w:pPr>
      <w:r>
        <w:t xml:space="preserve">2. durch eine schriftliche oder elektronische Erklärung nach Artikel 16 der Durchführungsverordnung (EU) Nr. 402/2013 bestätigt, dass alle für die Art und den Umfang der beantragten Probefahrten ermittelten Gefährdungen und damit verbundenen Risiken auf einem vertretbaren Niveau gehalten werden.</w:t>
      </w:r>
    </w:p>
    <w:p>
      <w:r>
        <w:rPr>
          <w:color w:val="555555"/>
          <w:sz w:val="17"/>
        </w:rPr>
        <w:t xml:space="preserve">Zitiervorschlag: § 15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