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EIGV — Voraussetzungen und Verfahren</w:t>
      </w:r>
    </w:p>
    <w:p>
      <w:r>
        <w:rPr>
          <w:color w:val="555555"/>
          <w:sz w:val="18"/>
        </w:rPr>
        <w:t xml:space="preserve">Eisenbahn-Inbetriebnahmegenehmigungsverordnung</w:t>
      </w:r>
    </w:p>
    <w:p>
      <w:r>
        <w:rPr>
          <w:color w:val="555555"/>
          <w:sz w:val="18"/>
        </w:rPr>
        <w:t xml:space="preserve">Stand: 02.07.2020 (konsolidierte Textfassung, kein amtliches Inkrafttretensdatum)</w:t>
      </w:r>
    </w:p>
    <w:p>
      <w:r>
        <w:t xml:space="preserve">(1) Die Voraussetzungen und das Verfahren für die Erteilung einer Genehmigung für das Inverkehrbringen von Fahrzeugen und einer Fahrzeugtypgenehmigung richten sich nach der Durchführungsverordnung (EU) 2018/545 der Kommission vom 4. April 2018 über die praktischen Modalitäten für die Genehmigung für das Inverkehrbringen von Schienenfahrzeugen und die Genehmigung von Schienenfahrzeugtypen gemäß der Richtlinie (EU) 2016/797 des Europäischen Parlaments und des Rates (ABl. L 90 vom 6.4.2018, S. 66) in der jeweils geltenden Fassung und nach Maßgabe dieser Verordnung.</w:t>
      </w:r>
    </w:p>
    <w:p>
      <w:r>
        <w:t xml:space="preserve">(2) Über die zentrale Anlaufstelle werden</w:t>
      </w:r>
    </w:p>
    <w:p>
      <w:pPr>
        <w:ind w:left="420"/>
      </w:pPr>
      <w:r>
        <w:t xml:space="preserve">1. Anträge auf Genehmigung für das Inverkehrbringen oder auf Fahrzeugtypgenehmigung gestellt und</w:t>
      </w:r>
    </w:p>
    <w:p>
      <w:pPr>
        <w:ind w:left="420"/>
      </w:pPr>
      <w:r>
        <w:t xml:space="preserve">2. Informationen eingeholt</w:t>
      </w:r>
    </w:p>
    <w:p>
      <w:pPr>
        <w:ind w:left="780"/>
      </w:pPr>
      <w:r>
        <w:t xml:space="preserve">a) über alle Anträge nach Nummer 1,</w:t>
      </w:r>
    </w:p>
    <w:p>
      <w:pPr>
        <w:ind w:left="780"/>
      </w:pPr>
      <w:r>
        <w:t xml:space="preserve">b) über den Stand der entsprechenden Verfahren und ihr Ergebnis sowie</w:t>
      </w:r>
    </w:p>
    <w:p>
      <w:pPr>
        <w:ind w:left="780"/>
      </w:pPr>
      <w:r>
        <w:t xml:space="preserve">c) über die Ersuchen und Entscheidungen der Beschwerdekammer.</w:t>
      </w:r>
    </w:p>
    <w:p>
      <w:r>
        <w:t xml:space="preserve">(3) Die Genehmigung für das Inverkehrbringen bedarf keiner Änderung, wenn</w:t>
      </w:r>
    </w:p>
    <w:p>
      <w:pPr>
        <w:ind w:left="420"/>
      </w:pPr>
      <w:r>
        <w:t xml:space="preserve">1. das Verwendungsgebiet des Fahrzeugs auf Bahnhöfe von Grenzbetriebsstrecken benachbarter Mitgliedstaaten der Europäischen Union mit ähnlichen Netzmerkmalen erweitert wird und</w:t>
      </w:r>
    </w:p>
    <w:p>
      <w:pPr>
        <w:ind w:left="420"/>
      </w:pPr>
      <w:r>
        <w:t xml:space="preserve">2. die zuständigen Sicherheitsbehörden der betroffenen Mitgliedstaaten angehört worden sind.</w:t>
      </w:r>
    </w:p>
    <w:p>
      <w:r>
        <w:t xml:space="preserve">Satz 1 gilt auch für Durchgangsstrecken.</w:t>
      </w:r>
    </w:p>
    <w:p>
      <w:r>
        <w:rPr>
          <w:color w:val="555555"/>
          <w:sz w:val="17"/>
        </w:rPr>
        <w:t xml:space="preserve">Zitiervorschlag: § 11 EIGV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https://recht.nulegal.eu/gesetze/EIGV/11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