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EIGV — Anwendungsbereich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Diese Verordnung regelt die Bedingungen für das Inverkehrbringen und für die Inbetriebnahme von Bestandteilen des Eisenbahnsystems nach Maßgabe der Richtlinie (EU) 2016/797 des Europäischen Parlaments und des Rates vom 11. Mai 2016 über die Interoperabilität des Eisenbahnsystems in der Europäischen Union (ABl. L 138 vom 26.5.2016, S. 44) in der jeweils geltenden Fassung.</w:t>
      </w:r>
    </w:p>
    <w:p>
      <w:r>
        <w:t xml:space="preserve">(2) Die Bedingungen betreffen</w:t>
      </w:r>
    </w:p>
    <w:p>
      <w:pPr>
        <w:ind w:left="420"/>
      </w:pPr>
      <w:r>
        <w:t xml:space="preserve">1. die Planung,</w:t>
      </w:r>
    </w:p>
    <w:p>
      <w:pPr>
        <w:ind w:left="420"/>
      </w:pPr>
      <w:r>
        <w:t xml:space="preserve">2. den Bau,</w:t>
      </w:r>
    </w:p>
    <w:p>
      <w:pPr>
        <w:ind w:left="420"/>
      </w:pPr>
      <w:r>
        <w:t xml:space="preserve">3. das Inverkehrbringen,</w:t>
      </w:r>
    </w:p>
    <w:p>
      <w:pPr>
        <w:ind w:left="420"/>
      </w:pPr>
      <w:r>
        <w:t xml:space="preserve">4. die Inbetriebnahme,</w:t>
      </w:r>
    </w:p>
    <w:p>
      <w:pPr>
        <w:ind w:left="420"/>
      </w:pPr>
      <w:r>
        <w:t xml:space="preserve">5. den Betrieb,</w:t>
      </w:r>
    </w:p>
    <w:p>
      <w:pPr>
        <w:ind w:left="420"/>
      </w:pPr>
      <w:r>
        <w:t xml:space="preserve">6. die Instandhaltung,</w:t>
      </w:r>
    </w:p>
    <w:p>
      <w:pPr>
        <w:ind w:left="420"/>
      </w:pPr>
      <w:r>
        <w:t xml:space="preserve">7. die Aufrüstung und</w:t>
      </w:r>
    </w:p>
    <w:p>
      <w:pPr>
        <w:ind w:left="420"/>
      </w:pPr>
      <w:r>
        <w:t xml:space="preserve">8. die Erneuerung</w:t>
      </w:r>
    </w:p>
    <w:p>
      <w:r>
        <w:t xml:space="preserve">von Bestandteilen des Eisenbahnsystems.</w:t>
      </w:r>
    </w:p>
    <w:p>
      <w:r>
        <w:t xml:space="preserve">(3) Diese Verordnung gilt für das regelspurige Eisenbahnsystem im Zuständigkeitsbereich des Eisenbahn-Bundesamtes.</w:t>
      </w:r>
    </w:p>
    <w:p>
      <w:r>
        <w:t xml:space="preserve">(4) Diese Verordnung gilt nicht für</w:t>
      </w:r>
    </w:p>
    <w:p>
      <w:pPr>
        <w:ind w:left="420"/>
      </w:pPr>
      <w:r>
        <w:t xml:space="preserve">1. nichtöffentliche Eisenbahninfrastrukturen und ausschließlich hierauf genutzte Fahrzeuge,</w:t>
      </w:r>
    </w:p>
    <w:p>
      <w:pPr>
        <w:ind w:left="420"/>
      </w:pPr>
      <w:r>
        <w:t xml:space="preserve">2. Fahrzeuge, die von Eisenbahninfrastrukturen, die in den Zuständigkeitsbereich der Länder fallen, in den nächsten Bahnhof verkehren, der in den Zuständigkeitsbereich des Eisenbahn-Bundesamtes fällt,</w:t>
      </w:r>
    </w:p>
    <w:p>
      <w:pPr>
        <w:ind w:left="420"/>
      </w:pPr>
      <w:r>
        <w:t xml:space="preserve">3. Zweisystem-Stadtbahnfahrzeuge sowie</w:t>
      </w:r>
    </w:p>
    <w:p>
      <w:pPr>
        <w:ind w:left="420"/>
      </w:pPr>
      <w:r>
        <w:t xml:space="preserve">4. Fahrzeuge, die ausschließlich zu historischen oder touristischen Zwecken genutzt werden.</w:t>
      </w:r>
    </w:p>
    <w:p>
      <w:r>
        <w:rPr>
          <w:color w:val="555555"/>
          <w:sz w:val="17"/>
        </w:rPr>
        <w:t xml:space="preserve">Zitiervorschlag: § 1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