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EHVV 2012</w:t>
      </w:r>
    </w:p>
    <w:p>
      <w:r>
        <w:rPr>
          <w:color w:val="555555"/>
          <w:sz w:val="18"/>
        </w:rPr>
        <w:t xml:space="preserve">Emissionshandels-Versteigerungsverordnung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Absatz 2 des Zuteilungsgesetzes 2012 vom 7. August 2007 (BGBl. I S. 1788) verordnet die Bundesregierung mit Zustimmung des Bundestages:</w:t>
      </w:r>
    </w:p>
    <w:p>
      <w:r>
        <w:rPr>
          <w:color w:val="555555"/>
          <w:sz w:val="17"/>
        </w:rPr>
        <w:t xml:space="preserve">Zitiervorschlag: Eingangsformel EHVV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