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EHVV 2012 — Inkrafttreten</w:t>
      </w:r>
    </w:p>
    <w:p>
      <w:r>
        <w:rPr>
          <w:color w:val="555555"/>
          <w:sz w:val="18"/>
        </w:rPr>
        <w:t xml:space="preserve">Emissionshandels-Versteigerungsverordnung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EHVV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https://recht.nulegal.eu/gesetze/EHVV%202012/8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