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EHVV 2012 — Versteigerungen im Auftrag anderer Mitgliedstaaten</w:t>
      </w:r>
    </w:p>
    <w:p>
      <w:r>
        <w:rPr>
          <w:color w:val="555555"/>
          <w:sz w:val="18"/>
        </w:rPr>
        <w:t xml:space="preserve">Emissionshandels-Versteigerungsverordnung 2012</w:t>
      </w:r>
    </w:p>
    <w:p>
      <w:r>
        <w:rPr>
          <w:color w:val="555555"/>
          <w:sz w:val="18"/>
        </w:rPr>
        <w:t xml:space="preserve">Stand: 10.06.2019 (konsolidierte Textfassung, kein amtliches Inkrafttretensdatum)</w:t>
      </w:r>
    </w:p>
    <w:p>
      <w:r>
        <w:t xml:space="preserve">Die durchführende Börse kann Versteigerungen von Berechtigungen im Auftrag anderer Mitgliedstaaten der Europäischen Union durchführen. Mit Zustimmung der zuständigen Stelle ist bei gleichartigen Versteigerungsbedingungen eine Zusammenlegung der Versteigerungsmengen in einem Versteigerungstermin möglich.</w:t>
      </w:r>
    </w:p>
    <w:p>
      <w:r>
        <w:rPr>
          <w:color w:val="555555"/>
          <w:sz w:val="17"/>
        </w:rPr>
        <w:t xml:space="preserve">Zitiervorschlag: § 6 EHVV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https://recht.nulegal.eu/gesetze/EHVV%202012/6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