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EHV 2020</w:t>
      </w:r>
    </w:p>
    <w:p>
      <w:r>
        <w:rPr>
          <w:color w:val="555555"/>
          <w:sz w:val="18"/>
        </w:rPr>
        <w:t xml:space="preserve">Emissionshandelsverordnung 2020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verordnen auf Grund</w:t>
      </w:r>
    </w:p>
    <w:p>
      <w:pPr>
        <w:ind w:left="420"/>
      </w:pPr>
      <w:r>
        <w:t xml:space="preserve">– des § 28 Absatz 1 Nummer 3 Buchstabe b und c des Treibhausgas-Emissionshandelsgesetzes vom 21. Juli 2011 (BGBl. I S. 1475) die Bundesregierung sowie</w:t>
      </w:r>
    </w:p>
    <w:p>
      <w:pPr>
        <w:ind w:left="420"/>
      </w:pPr>
      <w:r>
        <w:t xml:space="preserve">– des § 28 Absatz 2 Nummer 1 und Absatz 4 Satz 1 Nummer 1 bis 3 des Treibhausgas-Emissionshandelsgesetzes vom 21. Juli 2011 (BGBl. I S. 1475), von denen Absatz 2 Nummer 1 durch Artikel 1 Nummer 13 Buchstabe a des Gesetzes vom 15. Juli 2013 (BGBl. I S. 2431) neu gefasst und Absatz 4 Satz 1 Nummer 1 bis 3 durch Artikel 1 Nummer 13 Buchstabe b des vorgenannten Gesetzes eingefügt worden ist, das Bundesministerium für Umwelt, Naturschutz und Reaktorsicherheit:</w:t>
      </w:r>
    </w:p>
    <w:p>
      <w:r>
        <w:rPr>
          <w:color w:val="555555"/>
          <w:sz w:val="17"/>
        </w:rPr>
        <w:t xml:space="preserve">Zitiervorschlag: Eingangsformel EHV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https://recht.nulegal.eu/gesetze/EHV%202020/eingangsformel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