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EHV 2020 — Umtauschbarkeit von Emissionsgutschriften</w:t>
      </w:r>
    </w:p>
    <w:p>
      <w:r>
        <w:rPr>
          <w:color w:val="555555"/>
          <w:sz w:val="18"/>
        </w:rPr>
        <w:t xml:space="preserve">Emissionshandelsverordnung 2020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Neben den Emissionsgutschriften nach § 18 Absatz 3 des Gesetzes sind auch zertifizierte Emissionsreduktionen im Sinne des § 2 Nummer 21 des Projekt-Mechanismen-Gesetzes aus Projekten umtauschbar, die</w:t>
      </w:r>
    </w:p>
    <w:p>
      <w:pPr>
        <w:ind w:left="420"/>
      </w:pPr>
      <w:r>
        <w:t xml:space="preserve">1. von dem Exekutivrat im Sinne des § 2 Nummer 22 des Projekt-Mechanismen-Gesetzes nach dem 31. Dezember 2012 registriert wurden und</w:t>
      </w:r>
    </w:p>
    <w:p>
      <w:pPr>
        <w:ind w:left="420"/>
      </w:pPr>
      <w:r>
        <w:t xml:space="preserve">2. in einem Staat durchgeführt werden, der zum Zeitpunkt der Registrierung zu den am wenigsten entwickelten Ländern zählt.</w:t>
      </w:r>
    </w:p>
    <w:p>
      <w:r>
        <w:rPr>
          <w:color w:val="555555"/>
          <w:sz w:val="17"/>
        </w:rPr>
        <w:t xml:space="preserve">Zitiervorschlag: § 6 EHV 2020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https://recht.nulegal.eu/gesetze/EHV%202020/6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