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EHV 2020 — Nachweisanforderungen für angewendete Analysemethoden</w:t>
      </w:r>
    </w:p>
    <w:p>
      <w:r>
        <w:rPr>
          <w:color w:val="555555"/>
          <w:sz w:val="18"/>
        </w:rPr>
        <w:t xml:space="preserve">Emissionshandelsverordnung 2020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zur Bestimmung der Emissionen Berechnungsfaktoren verwendet werden, die auf Analysen basieren, gelten die Nachweisanforderungen in den Artikeln 32 bis 35 der Monitoring-Verordnung für alle angewendeten Analysemethoden.</w:t>
      </w:r>
    </w:p>
    <w:p>
      <w:r>
        <w:rPr>
          <w:color w:val="555555"/>
          <w:sz w:val="17"/>
        </w:rPr>
        <w:t xml:space="preserve">Zitiervorschlag: § 5 EHV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https://recht.nulegal.eu/gesetze/EHV%202020/5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